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6B65E">
      <w:pPr>
        <w:rPr>
          <w:sz w:val="24"/>
          <w:u w:val="single"/>
        </w:rPr>
      </w:pPr>
      <w:r>
        <w:rPr>
          <w:rFonts w:hint="eastAsia"/>
          <w:sz w:val="24"/>
        </w:rPr>
        <w:t>第一单元    第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       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7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9413"/>
      </w:tblGrid>
      <w:tr w14:paraId="20D0C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BC062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tbl>
            <w:tblPr>
              <w:tblStyle w:val="7"/>
              <w:tblpPr w:leftFromText="180" w:rightFromText="180" w:vertAnchor="text" w:horzAnchor="page" w:tblpX="1135" w:tblpY="166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03"/>
              <w:gridCol w:w="7684"/>
            </w:tblGrid>
            <w:tr w14:paraId="2E0E68F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300BCB2B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课题</w:t>
                  </w:r>
                </w:p>
              </w:tc>
              <w:tc>
                <w:tcPr>
                  <w:tcW w:w="8264" w:type="dxa"/>
                  <w:vAlign w:val="center"/>
                </w:tcPr>
                <w:p w14:paraId="4F7DF435">
                  <w:pPr>
                    <w:pStyle w:val="2"/>
                    <w:jc w:val="center"/>
                    <w:rPr>
                      <w:sz w:val="24"/>
                    </w:rPr>
                  </w:pPr>
                  <w:r>
                    <w:rPr>
                      <w:rFonts w:hint="eastAsia" w:asciiTheme="minorHAnsi" w:hAnsiTheme="minorHAnsi" w:eastAsiaTheme="minorEastAsia" w:cstheme="minorBidi"/>
                      <w:kern w:val="2"/>
                      <w:sz w:val="24"/>
                      <w:szCs w:val="24"/>
                      <w:lang w:val="en-US" w:eastAsia="zh-CN" w:bidi="ar-SA"/>
                    </w:rPr>
                    <w:t>求亿以内数的近似数</w:t>
                  </w:r>
                </w:p>
              </w:tc>
            </w:tr>
            <w:tr w14:paraId="722369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79DD07FE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教学目标</w:t>
                  </w:r>
                </w:p>
              </w:tc>
              <w:tc>
                <w:tcPr>
                  <w:tcW w:w="8264" w:type="dxa"/>
                  <w:vAlign w:val="center"/>
                </w:tcPr>
                <w:p w14:paraId="2F8893AF">
                  <w:pPr>
                    <w:pStyle w:val="2"/>
                    <w:spacing w:line="264" w:lineRule="auto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1．理解近似数，体会近似数的作用，掌握将非整万的数用“四舍五入”法求近似数的方法。</w:t>
                  </w:r>
                </w:p>
                <w:p w14:paraId="25967685">
                  <w:pPr>
                    <w:pStyle w:val="2"/>
                    <w:spacing w:line="264" w:lineRule="auto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2．经历用“四舍五入”法求近似数的过程，培养学生类推和概括的能力。</w:t>
                  </w:r>
                </w:p>
                <w:p w14:paraId="184D8CE8">
                  <w:pPr>
                    <w:pStyle w:val="2"/>
                    <w:spacing w:line="264" w:lineRule="auto"/>
                    <w:rPr>
                      <w:rFonts w:hint="eastAsia" w:ascii="宋体" w:hAnsi="宋体" w:eastAsia="宋体" w:cs="宋体"/>
                      <w:sz w:val="24"/>
                      <w:u w:val="single" w:color="FF0000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3．感受近似数与生活的密切联系，体验学习数学的价值和乐趣。</w:t>
                  </w:r>
                </w:p>
              </w:tc>
            </w:tr>
            <w:tr w14:paraId="14D78A0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539E2520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育人目标</w:t>
                  </w:r>
                </w:p>
              </w:tc>
              <w:tc>
                <w:tcPr>
                  <w:tcW w:w="8264" w:type="dxa"/>
                  <w:vAlign w:val="center"/>
                </w:tcPr>
                <w:p w14:paraId="7503260C">
                  <w:pPr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u w:val="single" w:color="FF0000"/>
                    </w:rPr>
                  </w:pPr>
                </w:p>
              </w:tc>
            </w:tr>
            <w:tr w14:paraId="577F576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2BD614B7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教学重点</w:t>
                  </w:r>
                </w:p>
              </w:tc>
              <w:tc>
                <w:tcPr>
                  <w:tcW w:w="8264" w:type="dxa"/>
                  <w:vAlign w:val="center"/>
                </w:tcPr>
                <w:p w14:paraId="4EE58DD7">
                  <w:pPr>
                    <w:pStyle w:val="2"/>
                    <w:spacing w:line="264" w:lineRule="auto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掌握将非整万的数用“四舍五入”法求近似数的方法。</w:t>
                  </w:r>
                </w:p>
              </w:tc>
            </w:tr>
            <w:tr w14:paraId="3F28C3F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4B48221E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教学难点</w:t>
                  </w:r>
                </w:p>
              </w:tc>
              <w:tc>
                <w:tcPr>
                  <w:tcW w:w="8264" w:type="dxa"/>
                  <w:vAlign w:val="center"/>
                </w:tcPr>
                <w:p w14:paraId="2951B8BC">
                  <w:pPr>
                    <w:pStyle w:val="2"/>
                    <w:spacing w:line="264" w:lineRule="auto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根据万级数的数位顺序表迁移类推出亿级数的数位顺序表。</w:t>
                  </w:r>
                </w:p>
              </w:tc>
            </w:tr>
            <w:tr w14:paraId="3B54938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19F38386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教学准备</w:t>
                  </w:r>
                </w:p>
              </w:tc>
              <w:tc>
                <w:tcPr>
                  <w:tcW w:w="8264" w:type="dxa"/>
                  <w:vAlign w:val="center"/>
                </w:tcPr>
                <w:p w14:paraId="2E097184">
                  <w:pPr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课件。</w:t>
                  </w:r>
                </w:p>
              </w:tc>
            </w:tr>
            <w:tr w14:paraId="0C3233C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36AC227E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课时安排</w:t>
                  </w:r>
                </w:p>
              </w:tc>
              <w:tc>
                <w:tcPr>
                  <w:tcW w:w="8264" w:type="dxa"/>
                  <w:vAlign w:val="center"/>
                </w:tcPr>
                <w:p w14:paraId="04B41910">
                  <w:pPr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1课时</w:t>
                  </w:r>
                </w:p>
              </w:tc>
            </w:tr>
          </w:tbl>
          <w:tbl>
            <w:tblPr>
              <w:tblStyle w:val="7"/>
              <w:tblW w:w="9861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164"/>
              <w:gridCol w:w="1697"/>
            </w:tblGrid>
            <w:tr w14:paraId="5712D1F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7763" w:type="dxa"/>
                  <w:vAlign w:val="center"/>
                </w:tcPr>
                <w:p w14:paraId="7CF8751C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教学活动过程</w:t>
                  </w:r>
                </w:p>
              </w:tc>
              <w:tc>
                <w:tcPr>
                  <w:tcW w:w="2098" w:type="dxa"/>
                  <w:vAlign w:val="center"/>
                </w:tcPr>
                <w:p w14:paraId="62B1B8FE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二次备课</w:t>
                  </w:r>
                </w:p>
              </w:tc>
            </w:tr>
            <w:tr w14:paraId="7A0D1C5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59" w:hRule="atLeast"/>
              </w:trPr>
              <w:tc>
                <w:tcPr>
                  <w:tcW w:w="7763" w:type="dxa"/>
                  <w:vAlign w:val="center"/>
                </w:tcPr>
                <w:p w14:paraId="080F08CB">
                  <w:pPr>
                    <w:pStyle w:val="2"/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一、谈话导入，了解近似数</w:t>
                  </w:r>
                </w:p>
                <w:p w14:paraId="43D10F7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1.认识近似数。</w:t>
                  </w:r>
                </w:p>
                <w:p w14:paraId="464B192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同学们，我们班有多少个学生？我们学校呢？</w:t>
                  </w:r>
                </w:p>
                <w:p w14:paraId="4A10CD9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我们班有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48人，是一个准确的数。而刚刚大家说的学校大约有三千人、大概有三千人、差不多三千人，说的是我们学校的人数与3000比较接近，所以“大约三千”表示的不是一个准确数，而是一个近似数。</w:t>
                  </w:r>
                </w:p>
                <w:p w14:paraId="01AC5E06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ascii="宋体" w:hAnsi="宋体" w:eastAsia="宋体" w:cs="宋体"/>
                      <w:sz w:val="24"/>
                    </w:rPr>
                    <w:t>2．进一步了解近似数。</w:t>
                  </w:r>
                </w:p>
                <w:p w14:paraId="4C9FADD2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课件展示教科书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P14“练习二”第2题。</w:t>
                  </w:r>
                </w:p>
                <w:p w14:paraId="24DC407D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观察这些数据，你发现了什么？</w:t>
                  </w:r>
                </w:p>
                <w:p w14:paraId="30A2B4CE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生活中有的数据我们可以或者必须非常准确地统计出来，这类数据就是“准确数”；而有的数据没办法或者也没必要非常精确地得出，只要大概估计就可以，这类数据称为“近似数”。</w:t>
                  </w:r>
                </w:p>
                <w:p w14:paraId="6CFF21EB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说说上面的数哪些是准确数，哪些是近似数。在日常生活中，人们经常使用近似数。今天这节课我们重点来研究亿以内数的近似数。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(板书课题：求亿以内数的近似数)</w:t>
                  </w:r>
                </w:p>
                <w:p w14:paraId="12C52178">
                  <w:pPr>
                    <w:pStyle w:val="2"/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二、探索新知，掌握方法</w:t>
                  </w:r>
                </w:p>
                <w:p w14:paraId="2FA1BE0E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ascii="宋体" w:hAnsi="宋体" w:eastAsia="宋体" w:cs="宋体"/>
                      <w:sz w:val="24"/>
                    </w:rPr>
                    <w:t>1.创设情境，理解近似数。</w:t>
                  </w:r>
                </w:p>
                <w:p w14:paraId="6B04E12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课件出示教科书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P13例7</w:t>
                  </w:r>
                  <w:r>
                    <w:rPr>
                      <w:rFonts w:hint="eastAsia" w:ascii="宋体" w:hAnsi="宋体" w:eastAsia="宋体" w:cs="宋体"/>
                      <w:sz w:val="24"/>
                    </w:rPr>
                    <w:t>。</w:t>
                  </w:r>
                </w:p>
                <w:p w14:paraId="353F36C4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从图中你知道了哪些信息？要我们解决什么问题？</w:t>
                  </w:r>
                </w:p>
                <w:p w14:paraId="5524D8B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近似数的特点，有“大约”“万”这些关键词。</w:t>
                  </w:r>
                  <w:r>
                    <w:rPr>
                      <w:rFonts w:ascii="宋体" w:hAnsi="宋体" w:eastAsia="宋体" w:cs="宋体"/>
                      <w:sz w:val="24"/>
                      <w:u w:val="none" w:color="auto"/>
                    </w:rPr>
                    <w:t>(课件随即圈出)</w:t>
                  </w:r>
                </w:p>
                <w:p w14:paraId="0199CFD4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ascii="宋体" w:hAnsi="宋体" w:eastAsia="宋体" w:cs="宋体"/>
                      <w:sz w:val="24"/>
                    </w:rPr>
                    <w:t>2．探究求近似数的方法。</w:t>
                  </w:r>
                </w:p>
                <w:p w14:paraId="04C69D1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ascii="宋体" w:hAnsi="宋体" w:eastAsia="宋体" w:cs="宋体"/>
                      <w:sz w:val="24"/>
                    </w:rPr>
                    <w:t>(1)体会用“四舍”的方法求近似数。</w:t>
                  </w:r>
                </w:p>
                <w:p w14:paraId="5285EB4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先来看这个小一点的数——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182068，这个数是怎样改写成18万的？</w:t>
                  </w:r>
                </w:p>
                <w:p w14:paraId="769FD94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同桌间交流讨论后，教师指名汇报。</w:t>
                  </w:r>
                </w:p>
                <w:p w14:paraId="6D5FEC4F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是这样吗？我们来看图。(课件出示数线图)</w:t>
                  </w:r>
                </w:p>
                <w:p w14:paraId="13F9796E">
                  <w:pPr>
                    <w:pStyle w:val="2"/>
                    <w:spacing w:line="360" w:lineRule="auto"/>
                    <w:ind w:firstLine="420" w:firstLineChars="200"/>
                    <w:rPr>
                      <w:rFonts w:hint="eastAsia" w:ascii="宋体" w:hAnsi="宋体" w:eastAsia="宋体" w:cs="宋体"/>
                    </w:rPr>
                  </w:pPr>
                  <w:r>
                    <w:drawing>
                      <wp:inline distT="0" distB="0" distL="114300" distR="114300">
                        <wp:extent cx="4780280" cy="885825"/>
                        <wp:effectExtent l="0" t="0" r="0" b="0"/>
                        <wp:docPr id="910184631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10184631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80280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4B425A2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(2)体会用“五入”的方法求近似数。</w:t>
                  </w:r>
                </w:p>
                <w:p w14:paraId="6E14AC4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如果把千位上的“</w:t>
                  </w: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2”改成“5”，那又是多少呢？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如果把千位上的“</w:t>
                  </w: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2”改成“9”呢？</w:t>
                  </w:r>
                </w:p>
                <w:p w14:paraId="2A227710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3．概括方法。</w:t>
                  </w:r>
                </w:p>
                <w:p w14:paraId="073E751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 xml:space="preserve">刚才在省略万位后面的尾数求近似数的过程中有几种情况呢？分别是哪几种？  </w:t>
                  </w:r>
                </w:p>
                <w:p w14:paraId="41CDE9D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同学们回答得非常好！这种求近似数的方法叫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32"/>
                      <w:u w:val="none" w:color="auto"/>
                    </w:rPr>
                    <w:t>“四舍五入”法。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求近似数时，什么时候“舍”？什么时候“入”？</w:t>
                  </w:r>
                </w:p>
                <w:p w14:paraId="139177BB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  <w:u w:val="none" w:color="auto"/>
                    </w:rPr>
                    <w:t>是“舍”还是“入”，要看省略的尾数部分的最高位上的数是小于</w:t>
                  </w:r>
                  <w:r>
                    <w:rPr>
                      <w:rFonts w:ascii="宋体" w:hAnsi="宋体" w:eastAsia="宋体" w:cs="宋体"/>
                      <w:sz w:val="24"/>
                      <w:szCs w:val="32"/>
                      <w:u w:val="none" w:color="auto"/>
                    </w:rPr>
                    <w:t>5还是大于或等于5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32"/>
                      <w:u w:val="none" w:color="auto"/>
                    </w:rPr>
                    <w:t>。</w:t>
                  </w:r>
                </w:p>
                <w:p w14:paraId="4EAAEAD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4.学生自主说一说218309是怎样改写成22万的。</w:t>
                  </w: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教师依据学生的回答板书。</w:t>
                  </w:r>
                </w:p>
                <w:p w14:paraId="0DFF4260">
                  <w:pPr>
                    <w:pStyle w:val="2"/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三、巩固应用，加深理解</w:t>
                  </w:r>
                </w:p>
                <w:p w14:paraId="14A20650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1.课件展示教科书P13“做一做”。</w:t>
                  </w:r>
                </w:p>
                <w:p w14:paraId="26D8EFB3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学生独立完成后小组内交流，教师巡视指导。</w:t>
                  </w:r>
                </w:p>
                <w:p w14:paraId="6B706830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2．课件展示教科书P14“练习二”第3题。</w:t>
                  </w:r>
                </w:p>
                <w:p w14:paraId="5259E230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学生先按要求独立完成，再互相说一说是怎么想的。</w:t>
                  </w:r>
                </w:p>
                <w:p w14:paraId="5D4722E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ascii="宋体" w:hAnsi="宋体" w:eastAsia="宋体" w:cs="宋体"/>
                      <w:sz w:val="24"/>
                      <w:szCs w:val="32"/>
                    </w:rPr>
                    <w:t>3．课件展示教科书P15“练习二”第4题。</w:t>
                  </w:r>
                </w:p>
                <w:p w14:paraId="0D11EA9B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先写数，再省略万位后面的尾数求出近似数，重点说一说写数的方法及求近似数的方法。</w:t>
                  </w:r>
                </w:p>
                <w:p w14:paraId="0362001F">
                  <w:pPr>
                    <w:pStyle w:val="2"/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四、全课小结，畅谈收获</w:t>
                  </w:r>
                </w:p>
                <w:p w14:paraId="61AB677F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同学们，今天的数学课你们有哪些收获呢？</w:t>
                  </w:r>
                </w:p>
                <w:p w14:paraId="07AE62DC">
                  <w:pPr>
                    <w:pStyle w:val="2"/>
                    <w:spacing w:line="360" w:lineRule="auto"/>
                    <w:ind w:firstLine="480" w:firstLineChars="200"/>
                    <w:rPr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师生共同小结用“四舍五入”法求亿以内数的近似数的方法。</w:t>
                  </w:r>
                </w:p>
              </w:tc>
              <w:tc>
                <w:tcPr>
                  <w:tcW w:w="2098" w:type="dxa"/>
                  <w:vAlign w:val="center"/>
                </w:tcPr>
                <w:p w14:paraId="48133EBB">
                  <w:pPr>
                    <w:rPr>
                      <w:rFonts w:hint="eastAsia" w:ascii="宋体" w:hAnsi="宋体" w:eastAsia="宋体"/>
                      <w:color w:val="FF0000"/>
                      <w:szCs w:val="21"/>
                    </w:rPr>
                  </w:pPr>
                </w:p>
                <w:p w14:paraId="255A573D">
                  <w:pPr>
                    <w:rPr>
                      <w:rFonts w:hint="eastAsia" w:ascii="宋体" w:hAnsi="宋体" w:eastAsia="宋体"/>
                      <w:color w:val="FF0000"/>
                      <w:szCs w:val="21"/>
                    </w:rPr>
                  </w:pPr>
                </w:p>
                <w:p w14:paraId="224F648C">
                  <w:pPr>
                    <w:rPr>
                      <w:sz w:val="24"/>
                    </w:rPr>
                  </w:pPr>
                </w:p>
                <w:p w14:paraId="5AD12121">
                  <w:pPr>
                    <w:rPr>
                      <w:sz w:val="24"/>
                    </w:rPr>
                  </w:pPr>
                </w:p>
                <w:p w14:paraId="23F0D9C3">
                  <w:pPr>
                    <w:rPr>
                      <w:sz w:val="24"/>
                    </w:rPr>
                  </w:pPr>
                </w:p>
                <w:p w14:paraId="69DEE175">
                  <w:pPr>
                    <w:rPr>
                      <w:sz w:val="24"/>
                    </w:rPr>
                  </w:pPr>
                </w:p>
                <w:p w14:paraId="267C3A9E">
                  <w:pPr>
                    <w:rPr>
                      <w:sz w:val="24"/>
                    </w:rPr>
                  </w:pPr>
                </w:p>
                <w:p w14:paraId="06E19592">
                  <w:pPr>
                    <w:rPr>
                      <w:sz w:val="24"/>
                    </w:rPr>
                  </w:pPr>
                </w:p>
                <w:p w14:paraId="1733B12C">
                  <w:pPr>
                    <w:rPr>
                      <w:sz w:val="24"/>
                    </w:rPr>
                  </w:pPr>
                </w:p>
                <w:p w14:paraId="3520A220">
                  <w:pPr>
                    <w:rPr>
                      <w:sz w:val="24"/>
                    </w:rPr>
                  </w:pPr>
                </w:p>
                <w:p w14:paraId="3FF887DB">
                  <w:pPr>
                    <w:rPr>
                      <w:sz w:val="24"/>
                    </w:rPr>
                  </w:pPr>
                </w:p>
                <w:p w14:paraId="3C80BB6B">
                  <w:pPr>
                    <w:rPr>
                      <w:sz w:val="24"/>
                    </w:rPr>
                  </w:pPr>
                </w:p>
                <w:p w14:paraId="31A2D010">
                  <w:pPr>
                    <w:rPr>
                      <w:sz w:val="24"/>
                    </w:rPr>
                  </w:pPr>
                </w:p>
                <w:p w14:paraId="4E14C7A2">
                  <w:pPr>
                    <w:rPr>
                      <w:sz w:val="24"/>
                    </w:rPr>
                  </w:pPr>
                </w:p>
                <w:p w14:paraId="0E3B792E">
                  <w:pPr>
                    <w:rPr>
                      <w:sz w:val="24"/>
                    </w:rPr>
                  </w:pPr>
                </w:p>
                <w:p w14:paraId="1AA49FB2">
                  <w:pPr>
                    <w:rPr>
                      <w:sz w:val="24"/>
                    </w:rPr>
                  </w:pPr>
                </w:p>
                <w:p w14:paraId="388F3C2B">
                  <w:pPr>
                    <w:rPr>
                      <w:sz w:val="24"/>
                    </w:rPr>
                  </w:pPr>
                </w:p>
                <w:p w14:paraId="6A04028E">
                  <w:pPr>
                    <w:rPr>
                      <w:sz w:val="24"/>
                    </w:rPr>
                  </w:pPr>
                </w:p>
                <w:p w14:paraId="36E2DF9F">
                  <w:pPr>
                    <w:rPr>
                      <w:sz w:val="24"/>
                    </w:rPr>
                  </w:pPr>
                </w:p>
                <w:p w14:paraId="38A9AF07">
                  <w:pPr>
                    <w:rPr>
                      <w:sz w:val="24"/>
                    </w:rPr>
                  </w:pPr>
                </w:p>
                <w:p w14:paraId="60AC7855">
                  <w:pPr>
                    <w:rPr>
                      <w:sz w:val="24"/>
                    </w:rPr>
                  </w:pPr>
                </w:p>
                <w:p w14:paraId="05216A5B">
                  <w:pPr>
                    <w:rPr>
                      <w:sz w:val="24"/>
                    </w:rPr>
                  </w:pPr>
                </w:p>
                <w:p w14:paraId="6DF9C7AC">
                  <w:pPr>
                    <w:rPr>
                      <w:sz w:val="24"/>
                    </w:rPr>
                  </w:pPr>
                </w:p>
                <w:p w14:paraId="226E0E8B">
                  <w:pPr>
                    <w:rPr>
                      <w:sz w:val="24"/>
                    </w:rPr>
                  </w:pPr>
                </w:p>
                <w:p w14:paraId="7330A41D">
                  <w:pPr>
                    <w:rPr>
                      <w:sz w:val="24"/>
                    </w:rPr>
                  </w:pPr>
                </w:p>
                <w:p w14:paraId="2C14E087">
                  <w:pPr>
                    <w:rPr>
                      <w:sz w:val="24"/>
                    </w:rPr>
                  </w:pPr>
                </w:p>
                <w:p w14:paraId="37F6556A">
                  <w:pPr>
                    <w:rPr>
                      <w:sz w:val="24"/>
                    </w:rPr>
                  </w:pPr>
                </w:p>
                <w:p w14:paraId="00378A18">
                  <w:pPr>
                    <w:rPr>
                      <w:sz w:val="24"/>
                    </w:rPr>
                  </w:pPr>
                </w:p>
                <w:p w14:paraId="6DB9723D">
                  <w:pPr>
                    <w:rPr>
                      <w:sz w:val="24"/>
                    </w:rPr>
                  </w:pPr>
                </w:p>
                <w:p w14:paraId="7E607EDA">
                  <w:pPr>
                    <w:rPr>
                      <w:sz w:val="24"/>
                    </w:rPr>
                  </w:pPr>
                </w:p>
                <w:p w14:paraId="385A44C5">
                  <w:pPr>
                    <w:rPr>
                      <w:sz w:val="24"/>
                    </w:rPr>
                  </w:pPr>
                </w:p>
              </w:tc>
            </w:tr>
            <w:tr w14:paraId="56CC04A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7763" w:type="dxa"/>
                  <w:vAlign w:val="center"/>
                </w:tcPr>
                <w:p w14:paraId="64045F10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作业布置</w:t>
                  </w:r>
                </w:p>
              </w:tc>
              <w:tc>
                <w:tcPr>
                  <w:tcW w:w="2098" w:type="dxa"/>
                  <w:vAlign w:val="center"/>
                </w:tcPr>
                <w:p w14:paraId="16BFCA99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14:paraId="692C974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6" w:hRule="atLeast"/>
              </w:trPr>
              <w:tc>
                <w:tcPr>
                  <w:tcW w:w="7763" w:type="dxa"/>
                  <w:vAlign w:val="center"/>
                </w:tcPr>
                <w:p w14:paraId="6BDA8567">
                  <w:pPr>
                    <w:pStyle w:val="2"/>
                    <w:spacing w:line="360" w:lineRule="auto"/>
                    <w:ind w:firstLine="480" w:firstLineChars="200"/>
                    <w:rPr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szCs w:val="32"/>
                    </w:rPr>
                    <w:t>课本P15T4完成在作业上，书写格式仿照P13做一做。</w:t>
                  </w:r>
                </w:p>
              </w:tc>
              <w:tc>
                <w:tcPr>
                  <w:tcW w:w="2098" w:type="dxa"/>
                  <w:vAlign w:val="center"/>
                </w:tcPr>
                <w:p w14:paraId="393CB65B">
                  <w:pPr>
                    <w:rPr>
                      <w:sz w:val="24"/>
                    </w:rPr>
                  </w:pPr>
                </w:p>
              </w:tc>
            </w:tr>
            <w:tr w14:paraId="3A9C1E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9861" w:type="dxa"/>
                  <w:gridSpan w:val="2"/>
                  <w:vAlign w:val="center"/>
                </w:tcPr>
                <w:p w14:paraId="6EB5416F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板书设计</w:t>
                  </w:r>
                </w:p>
              </w:tc>
            </w:tr>
            <w:tr w14:paraId="5FEF517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9861" w:type="dxa"/>
                  <w:gridSpan w:val="2"/>
                  <w:vAlign w:val="center"/>
                </w:tcPr>
                <w:p w14:paraId="1252E870">
                  <w:pPr>
                    <w:rPr>
                      <w:sz w:val="24"/>
                    </w:rPr>
                  </w:pPr>
                  <w:r>
                    <w:drawing>
                      <wp:anchor distT="0" distB="0" distL="114300" distR="114300" simplePos="0" relativeHeight="251660288" behindDoc="1" locked="0" layoutInCell="1" allowOverlap="1">
                        <wp:simplePos x="0" y="0"/>
                        <wp:positionH relativeFrom="column">
                          <wp:posOffset>682625</wp:posOffset>
                        </wp:positionH>
                        <wp:positionV relativeFrom="paragraph">
                          <wp:posOffset>9525</wp:posOffset>
                        </wp:positionV>
                        <wp:extent cx="4574540" cy="1523365"/>
                        <wp:effectExtent l="0" t="0" r="6985" b="635"/>
                        <wp:wrapTight wrapText="bothSides">
                          <wp:wrapPolygon>
                            <wp:start x="0" y="0"/>
                            <wp:lineTo x="0" y="21474"/>
                            <wp:lineTo x="21543" y="21474"/>
                            <wp:lineTo x="21543" y="0"/>
                            <wp:lineTo x="0" y="0"/>
                          </wp:wrapPolygon>
                        </wp:wrapTight>
                        <wp:docPr id="678226116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78226116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74540" cy="15233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14:paraId="11ABCCA2">
                  <w:pPr>
                    <w:rPr>
                      <w:sz w:val="24"/>
                    </w:rPr>
                  </w:pPr>
                </w:p>
                <w:p w14:paraId="06D62252">
                  <w:pPr>
                    <w:rPr>
                      <w:sz w:val="24"/>
                    </w:rPr>
                  </w:pPr>
                </w:p>
              </w:tc>
            </w:tr>
          </w:tbl>
          <w:p w14:paraId="3E5A161C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  <w:tr w14:paraId="7E251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7BACEE5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38D55772">
            <w:pPr>
              <w:jc w:val="center"/>
              <w:rPr>
                <w:sz w:val="24"/>
              </w:rPr>
            </w:pPr>
          </w:p>
        </w:tc>
      </w:tr>
      <w:tr w14:paraId="20EA0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415AE03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7F110458">
            <w:pPr>
              <w:jc w:val="center"/>
              <w:rPr>
                <w:sz w:val="24"/>
              </w:rPr>
            </w:pPr>
          </w:p>
        </w:tc>
      </w:tr>
      <w:tr w14:paraId="4B662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374766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48717EAB">
            <w:pPr>
              <w:jc w:val="center"/>
              <w:rPr>
                <w:sz w:val="24"/>
              </w:rPr>
            </w:pPr>
          </w:p>
        </w:tc>
      </w:tr>
      <w:tr w14:paraId="5CA09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9434E5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41D62DE6">
            <w:pPr>
              <w:jc w:val="center"/>
              <w:rPr>
                <w:sz w:val="24"/>
              </w:rPr>
            </w:pPr>
          </w:p>
        </w:tc>
      </w:tr>
      <w:tr w14:paraId="106D8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3B2C2A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4F2932DE">
            <w:pPr>
              <w:jc w:val="center"/>
              <w:rPr>
                <w:sz w:val="24"/>
              </w:rPr>
            </w:pPr>
          </w:p>
        </w:tc>
      </w:tr>
      <w:tr w14:paraId="35EB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D0FE05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23E88F79">
            <w:pPr>
              <w:jc w:val="center"/>
              <w:rPr>
                <w:sz w:val="24"/>
              </w:rPr>
            </w:pPr>
          </w:p>
        </w:tc>
      </w:tr>
    </w:tbl>
    <w:tbl>
      <w:tblPr>
        <w:tblStyle w:val="7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4E673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36750D4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3A0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22123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</w:trPr>
        <w:tc>
          <w:tcPr>
            <w:tcW w:w="7763" w:type="dxa"/>
            <w:vAlign w:val="center"/>
          </w:tcPr>
          <w:p w14:paraId="4D143838">
            <w:pPr>
              <w:rPr>
                <w:rFonts w:hint="eastAsia"/>
                <w:sz w:val="24"/>
              </w:rPr>
            </w:pPr>
          </w:p>
          <w:p w14:paraId="695A2168">
            <w:pPr>
              <w:rPr>
                <w:rFonts w:hint="eastAsia"/>
                <w:sz w:val="24"/>
              </w:rPr>
            </w:pPr>
          </w:p>
          <w:p w14:paraId="1825BBD6">
            <w:pPr>
              <w:rPr>
                <w:rFonts w:hint="eastAsia"/>
                <w:sz w:val="24"/>
              </w:rPr>
            </w:pPr>
          </w:p>
          <w:p w14:paraId="3D64D07C">
            <w:pPr>
              <w:rPr>
                <w:rFonts w:hint="eastAsia"/>
                <w:sz w:val="24"/>
              </w:rPr>
            </w:pPr>
          </w:p>
          <w:p w14:paraId="2547805B">
            <w:pPr>
              <w:rPr>
                <w:rFonts w:hint="eastAsia"/>
                <w:sz w:val="24"/>
              </w:rPr>
            </w:pPr>
          </w:p>
          <w:p w14:paraId="28DA756C">
            <w:pPr>
              <w:rPr>
                <w:sz w:val="24"/>
              </w:rPr>
            </w:pPr>
          </w:p>
          <w:p w14:paraId="70AA84DA">
            <w:pPr>
              <w:rPr>
                <w:sz w:val="24"/>
              </w:rPr>
            </w:pPr>
          </w:p>
          <w:p w14:paraId="0729C4BB">
            <w:pPr>
              <w:rPr>
                <w:sz w:val="24"/>
              </w:rPr>
            </w:pPr>
          </w:p>
          <w:p w14:paraId="501D5DBF">
            <w:pPr>
              <w:rPr>
                <w:sz w:val="24"/>
              </w:rPr>
            </w:pPr>
          </w:p>
          <w:p w14:paraId="7ABBDB1D">
            <w:pPr>
              <w:rPr>
                <w:sz w:val="24"/>
              </w:rPr>
            </w:pPr>
          </w:p>
          <w:p w14:paraId="1067C2A9">
            <w:pPr>
              <w:rPr>
                <w:sz w:val="24"/>
              </w:rPr>
            </w:pPr>
          </w:p>
        </w:tc>
        <w:tc>
          <w:tcPr>
            <w:tcW w:w="2098" w:type="dxa"/>
            <w:vAlign w:val="center"/>
          </w:tcPr>
          <w:p w14:paraId="72456D92">
            <w:pPr>
              <w:rPr>
                <w:sz w:val="24"/>
              </w:rPr>
            </w:pPr>
          </w:p>
        </w:tc>
      </w:tr>
      <w:tr w14:paraId="743EE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790F4DC5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5B237292">
            <w:pPr>
              <w:jc w:val="center"/>
              <w:rPr>
                <w:sz w:val="24"/>
              </w:rPr>
            </w:pPr>
          </w:p>
        </w:tc>
      </w:tr>
      <w:tr w14:paraId="017AF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09329A7A">
            <w:pPr>
              <w:rPr>
                <w:sz w:val="24"/>
              </w:rPr>
            </w:pPr>
          </w:p>
          <w:p w14:paraId="5D955AA1">
            <w:pPr>
              <w:rPr>
                <w:sz w:val="24"/>
              </w:rPr>
            </w:pPr>
          </w:p>
        </w:tc>
        <w:tc>
          <w:tcPr>
            <w:tcW w:w="2098" w:type="dxa"/>
            <w:vAlign w:val="center"/>
          </w:tcPr>
          <w:p w14:paraId="337D176D">
            <w:pPr>
              <w:rPr>
                <w:sz w:val="24"/>
              </w:rPr>
            </w:pPr>
          </w:p>
        </w:tc>
      </w:tr>
      <w:tr w14:paraId="3B194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E8A062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00983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5200271B">
            <w:pPr>
              <w:rPr>
                <w:sz w:val="24"/>
              </w:rPr>
            </w:pPr>
          </w:p>
          <w:p w14:paraId="5D9A7548">
            <w:pPr>
              <w:rPr>
                <w:sz w:val="24"/>
              </w:rPr>
            </w:pPr>
          </w:p>
          <w:p w14:paraId="72D71E0A">
            <w:pPr>
              <w:rPr>
                <w:sz w:val="24"/>
              </w:rPr>
            </w:pPr>
          </w:p>
          <w:p w14:paraId="7F8BDA5A">
            <w:pPr>
              <w:rPr>
                <w:sz w:val="24"/>
              </w:rPr>
            </w:pPr>
          </w:p>
          <w:p w14:paraId="6AC08CB5">
            <w:pPr>
              <w:rPr>
                <w:sz w:val="24"/>
              </w:rPr>
            </w:pPr>
          </w:p>
        </w:tc>
      </w:tr>
      <w:tr w14:paraId="3166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2B6DEDD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756D0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786F4631">
            <w:pPr>
              <w:rPr>
                <w:sz w:val="24"/>
              </w:rPr>
            </w:pPr>
          </w:p>
        </w:tc>
      </w:tr>
    </w:tbl>
    <w:p w14:paraId="29F70E52">
      <w:pPr>
        <w:rPr>
          <w:sz w:val="24"/>
          <w:u w:val="single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E7C44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62CAF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62CAF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5231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4B9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F0E77">
    <w:pPr>
      <w:pStyle w:val="5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7A738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E508E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iNTRkZjE5YjQyMWExZTE5NDdiNGFmYWM3YTgxM2IifQ=="/>
  </w:docVars>
  <w:rsids>
    <w:rsidRoot w:val="00B747B6"/>
    <w:rsid w:val="00357F0C"/>
    <w:rsid w:val="00400B76"/>
    <w:rsid w:val="00847117"/>
    <w:rsid w:val="00B747B6"/>
    <w:rsid w:val="00FF1AAE"/>
    <w:rsid w:val="0F655FF9"/>
    <w:rsid w:val="1CAC1EBF"/>
    <w:rsid w:val="1FB26B36"/>
    <w:rsid w:val="354E6A2B"/>
    <w:rsid w:val="5630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等线" w:hAnsi="Courier New" w:cs="Courier New"/>
    </w:rPr>
  </w:style>
  <w:style w:type="paragraph" w:styleId="3">
    <w:name w:val="Balloon Text"/>
    <w:basedOn w:val="1"/>
    <w:link w:val="9"/>
    <w:qFormat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66</Words>
  <Characters>66</Characters>
  <Lines>1</Lines>
  <Paragraphs>1</Paragraphs>
  <TotalTime>0</TotalTime>
  <ScaleCrop>false</ScaleCrop>
  <LinksUpToDate>false</LinksUpToDate>
  <CharactersWithSpaces>111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霍比特人</cp:lastModifiedBy>
  <dcterms:modified xsi:type="dcterms:W3CDTF">2024-11-04T11:36:40Z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458D03C49F4F4D128C679276DE6E9B03_13</vt:lpwstr>
  </property>
</Properties>
</file>