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70847D">
      <w:pPr>
        <w:rPr>
          <w:sz w:val="24"/>
          <w:u w:val="single"/>
        </w:rPr>
      </w:pPr>
      <w:r>
        <w:rPr>
          <w:rFonts w:hint="eastAsia"/>
          <w:sz w:val="24"/>
        </w:rPr>
        <w:t>第</w:t>
      </w:r>
      <w:r>
        <w:rPr>
          <w:rFonts w:hint="eastAsia"/>
          <w:sz w:val="24"/>
          <w:lang w:eastAsia="zh-CN"/>
        </w:rPr>
        <w:t>二</w:t>
      </w:r>
      <w:r>
        <w:rPr>
          <w:rFonts w:hint="eastAsia"/>
          <w:sz w:val="24"/>
        </w:rPr>
        <w:t>单元    第</w:t>
      </w:r>
      <w:r>
        <w:rPr>
          <w:rFonts w:hint="eastAsia"/>
          <w:sz w:val="24"/>
          <w:u w:val="single"/>
        </w:rPr>
        <w:t xml:space="preserve">  </w:t>
      </w:r>
      <w:r>
        <w:rPr>
          <w:rFonts w:hint="eastAsia"/>
          <w:sz w:val="24"/>
        </w:rPr>
        <w:t>节    主备人：</w:t>
      </w:r>
      <w:r>
        <w:rPr>
          <w:rFonts w:hint="eastAsia"/>
          <w:sz w:val="24"/>
          <w:u w:val="single"/>
        </w:rPr>
        <w:t xml:space="preserve"> </w:t>
      </w:r>
      <w:r>
        <w:rPr>
          <w:rFonts w:hint="eastAsia"/>
          <w:sz w:val="24"/>
          <w:u w:val="single"/>
          <w:lang w:eastAsia="zh-CN"/>
        </w:rPr>
        <w:t>蔡雨婷</w:t>
      </w:r>
      <w:r>
        <w:rPr>
          <w:rFonts w:hint="eastAsia"/>
          <w:sz w:val="24"/>
          <w:u w:val="single"/>
        </w:rPr>
        <w:t xml:space="preserve">  </w:t>
      </w:r>
      <w:r>
        <w:rPr>
          <w:rFonts w:hint="eastAsia"/>
          <w:sz w:val="24"/>
        </w:rPr>
        <w:t xml:space="preserve">   初审人：</w:t>
      </w:r>
      <w:r>
        <w:rPr>
          <w:rFonts w:hint="eastAsia"/>
          <w:sz w:val="24"/>
          <w:u w:val="single"/>
        </w:rPr>
        <w:t xml:space="preserve">   </w:t>
      </w:r>
      <w:r>
        <w:rPr>
          <w:rFonts w:hint="eastAsia"/>
          <w:sz w:val="24"/>
          <w:u w:val="single"/>
          <w:lang w:eastAsia="zh-CN"/>
        </w:rPr>
        <w:t>马丽</w:t>
      </w:r>
      <w:r>
        <w:rPr>
          <w:rFonts w:hint="eastAsia"/>
          <w:sz w:val="24"/>
          <w:u w:val="single"/>
        </w:rPr>
        <w:t xml:space="preserve">   </w:t>
      </w:r>
      <w:r>
        <w:rPr>
          <w:rFonts w:hint="eastAsia"/>
          <w:sz w:val="24"/>
        </w:rPr>
        <w:t xml:space="preserve">   终审人：</w:t>
      </w:r>
      <w:r>
        <w:rPr>
          <w:rFonts w:hint="eastAsia"/>
          <w:sz w:val="24"/>
          <w:u w:val="single"/>
        </w:rPr>
        <w:t xml:space="preserve"> </w:t>
      </w:r>
      <w:r>
        <w:rPr>
          <w:rFonts w:hint="eastAsia"/>
          <w:sz w:val="24"/>
          <w:u w:val="single"/>
          <w:lang w:val="en-US" w:eastAsia="zh-CN"/>
        </w:rPr>
        <w:t xml:space="preserve"> </w:t>
      </w:r>
      <w:r>
        <w:rPr>
          <w:rFonts w:hint="eastAsia"/>
          <w:sz w:val="24"/>
          <w:u w:val="single"/>
          <w:lang w:eastAsia="zh-CN"/>
        </w:rPr>
        <w:t>马瑞</w:t>
      </w:r>
      <w:r>
        <w:rPr>
          <w:rFonts w:hint="eastAsia"/>
          <w:sz w:val="24"/>
          <w:u w:val="single"/>
        </w:rPr>
        <w:t xml:space="preserve">        </w:t>
      </w:r>
    </w:p>
    <w:tbl>
      <w:tblPr>
        <w:tblStyle w:val="7"/>
        <w:tblpPr w:leftFromText="180" w:rightFromText="180" w:vertAnchor="text" w:horzAnchor="page" w:tblpX="1135" w:tblpY="1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8264"/>
      </w:tblGrid>
      <w:tr w14:paraId="4DD2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3F76C78B">
            <w:pPr>
              <w:jc w:val="center"/>
              <w:rPr>
                <w:b/>
                <w:bCs/>
                <w:sz w:val="24"/>
              </w:rPr>
            </w:pPr>
            <w:r>
              <w:rPr>
                <w:rFonts w:hint="eastAsia"/>
                <w:b/>
                <w:bCs/>
                <w:sz w:val="24"/>
              </w:rPr>
              <w:t>课题</w:t>
            </w:r>
          </w:p>
        </w:tc>
        <w:tc>
          <w:tcPr>
            <w:tcW w:w="8264" w:type="dxa"/>
            <w:vAlign w:val="center"/>
          </w:tcPr>
          <w:p w14:paraId="621839B0">
            <w:pPr>
              <w:jc w:val="center"/>
              <w:rPr>
                <w:rFonts w:hint="eastAsia" w:eastAsiaTheme="minorEastAsia"/>
                <w:sz w:val="24"/>
                <w:lang w:eastAsia="zh-CN"/>
              </w:rPr>
            </w:pPr>
            <w:r>
              <w:rPr>
                <w:rFonts w:hint="eastAsia"/>
                <w:sz w:val="24"/>
                <w:lang w:eastAsia="zh-CN"/>
              </w:rPr>
              <w:t>整理和复习（第一课时）</w:t>
            </w:r>
          </w:p>
        </w:tc>
      </w:tr>
      <w:tr w14:paraId="7943E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60791BBB">
            <w:pPr>
              <w:jc w:val="center"/>
              <w:rPr>
                <w:b/>
                <w:bCs/>
                <w:sz w:val="24"/>
              </w:rPr>
            </w:pPr>
            <w:r>
              <w:rPr>
                <w:rFonts w:hint="eastAsia"/>
                <w:b/>
                <w:bCs/>
                <w:sz w:val="24"/>
              </w:rPr>
              <w:t>教学目标</w:t>
            </w:r>
          </w:p>
        </w:tc>
        <w:tc>
          <w:tcPr>
            <w:tcW w:w="8264" w:type="dxa"/>
            <w:vAlign w:val="center"/>
          </w:tcPr>
          <w:p w14:paraId="2FB00293">
            <w:pPr>
              <w:pStyle w:val="2"/>
              <w:rPr>
                <w:rFonts w:hint="eastAsia" w:ascii="宋体" w:hAnsi="宋体" w:eastAsia="宋体" w:cs="宋体"/>
                <w:sz w:val="24"/>
                <w:szCs w:val="24"/>
              </w:rPr>
            </w:pPr>
            <w:r>
              <w:rPr>
                <w:rFonts w:hint="eastAsia" w:ascii="宋体" w:hAnsi="宋体" w:eastAsia="宋体" w:cs="宋体"/>
                <w:sz w:val="24"/>
                <w:szCs w:val="24"/>
              </w:rPr>
              <w:t>1.在具体的情境中，引导学生对本单元内容系统地整理和复习，明确各部分内容间的联系。</w:t>
            </w:r>
          </w:p>
          <w:p w14:paraId="36514240">
            <w:pPr>
              <w:pStyle w:val="2"/>
              <w:rPr>
                <w:rFonts w:hint="eastAsia" w:ascii="宋体" w:hAnsi="宋体" w:eastAsia="宋体" w:cs="宋体"/>
                <w:sz w:val="24"/>
                <w:szCs w:val="24"/>
              </w:rPr>
            </w:pPr>
            <w:r>
              <w:rPr>
                <w:rFonts w:hint="eastAsia" w:ascii="宋体" w:hAnsi="宋体" w:eastAsia="宋体" w:cs="宋体"/>
                <w:sz w:val="24"/>
                <w:szCs w:val="24"/>
              </w:rPr>
              <w:t>2.在整理归纳过程中，培养学生有序思考的能力，提升数感和符号意识。</w:t>
            </w:r>
          </w:p>
          <w:p w14:paraId="41D43D12">
            <w:pPr>
              <w:pStyle w:val="2"/>
              <w:rPr>
                <w:sz w:val="24"/>
              </w:rPr>
            </w:pPr>
            <w:r>
              <w:rPr>
                <w:rFonts w:hint="eastAsia" w:ascii="宋体" w:hAnsi="宋体" w:eastAsia="宋体" w:cs="宋体"/>
                <w:sz w:val="24"/>
                <w:szCs w:val="24"/>
              </w:rPr>
              <w:t>3.经历将分散的知识综合在一起的过程，进一步学习整理和复习的方法，培养学生自觉整理所学知识的良好习惯。</w:t>
            </w:r>
          </w:p>
        </w:tc>
      </w:tr>
      <w:tr w14:paraId="6A88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E2607A8">
            <w:pPr>
              <w:jc w:val="center"/>
              <w:rPr>
                <w:rFonts w:hint="eastAsia" w:eastAsiaTheme="minorEastAsia"/>
                <w:b/>
                <w:bCs/>
                <w:sz w:val="24"/>
                <w:lang w:eastAsia="zh-CN"/>
              </w:rPr>
            </w:pPr>
            <w:r>
              <w:rPr>
                <w:rFonts w:hint="eastAsia"/>
                <w:b/>
                <w:bCs/>
                <w:sz w:val="24"/>
                <w:lang w:eastAsia="zh-CN"/>
              </w:rPr>
              <w:t>育人目标</w:t>
            </w:r>
          </w:p>
        </w:tc>
        <w:tc>
          <w:tcPr>
            <w:tcW w:w="8264" w:type="dxa"/>
            <w:vAlign w:val="center"/>
          </w:tcPr>
          <w:p w14:paraId="6D588C59">
            <w:pPr>
              <w:jc w:val="center"/>
              <w:rPr>
                <w:sz w:val="24"/>
              </w:rPr>
            </w:pPr>
          </w:p>
        </w:tc>
      </w:tr>
      <w:tr w14:paraId="4C50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48E1EFA6">
            <w:pPr>
              <w:jc w:val="center"/>
              <w:rPr>
                <w:b/>
                <w:bCs/>
                <w:sz w:val="24"/>
              </w:rPr>
            </w:pPr>
            <w:r>
              <w:rPr>
                <w:rFonts w:hint="eastAsia"/>
                <w:b/>
                <w:bCs/>
                <w:sz w:val="24"/>
              </w:rPr>
              <w:t>教学重点</w:t>
            </w:r>
          </w:p>
        </w:tc>
        <w:tc>
          <w:tcPr>
            <w:tcW w:w="8264" w:type="dxa"/>
            <w:vAlign w:val="center"/>
          </w:tcPr>
          <w:p w14:paraId="39D204CA">
            <w:pPr>
              <w:pStyle w:val="2"/>
              <w:rPr>
                <w:sz w:val="24"/>
              </w:rPr>
            </w:pPr>
            <w:r>
              <w:rPr>
                <w:rFonts w:ascii="Times New Roman" w:hAnsi="Times New Roman" w:cs="Times New Roman"/>
              </w:rPr>
              <w:t>经历知识整理的过程，进一步理解和巩固知识，初步掌握整理和复习的方法。</w:t>
            </w:r>
          </w:p>
        </w:tc>
      </w:tr>
      <w:tr w14:paraId="7352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1417806D">
            <w:pPr>
              <w:jc w:val="center"/>
              <w:rPr>
                <w:b/>
                <w:bCs/>
                <w:sz w:val="24"/>
              </w:rPr>
            </w:pPr>
            <w:r>
              <w:rPr>
                <w:rFonts w:hint="eastAsia"/>
                <w:b/>
                <w:bCs/>
                <w:sz w:val="24"/>
              </w:rPr>
              <w:t>教学难点</w:t>
            </w:r>
          </w:p>
        </w:tc>
        <w:tc>
          <w:tcPr>
            <w:tcW w:w="8264" w:type="dxa"/>
            <w:vAlign w:val="center"/>
          </w:tcPr>
          <w:p w14:paraId="7D2DFE09">
            <w:pPr>
              <w:pStyle w:val="2"/>
              <w:rPr>
                <w:rFonts w:hint="eastAsia" w:eastAsiaTheme="minorEastAsia"/>
                <w:sz w:val="24"/>
                <w:lang w:eastAsia="zh-CN"/>
              </w:rPr>
            </w:pPr>
            <w:r>
              <w:rPr>
                <w:rFonts w:ascii="Times New Roman" w:hAnsi="Times New Roman" w:cs="Times New Roman"/>
              </w:rPr>
              <w:t>主动探索和发现各部分知识之间的联系。</w:t>
            </w:r>
          </w:p>
        </w:tc>
      </w:tr>
      <w:tr w14:paraId="4FF9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32928525">
            <w:pPr>
              <w:jc w:val="center"/>
              <w:rPr>
                <w:b/>
                <w:bCs/>
                <w:sz w:val="24"/>
              </w:rPr>
            </w:pPr>
            <w:r>
              <w:rPr>
                <w:rFonts w:hint="eastAsia"/>
                <w:b/>
                <w:bCs/>
                <w:sz w:val="24"/>
              </w:rPr>
              <w:t>教学准备</w:t>
            </w:r>
          </w:p>
        </w:tc>
        <w:tc>
          <w:tcPr>
            <w:tcW w:w="8264" w:type="dxa"/>
            <w:vAlign w:val="center"/>
          </w:tcPr>
          <w:p w14:paraId="19ECA012">
            <w:pPr>
              <w:jc w:val="center"/>
              <w:rPr>
                <w:rFonts w:hint="eastAsia" w:eastAsiaTheme="minorEastAsia"/>
                <w:sz w:val="24"/>
                <w:lang w:eastAsia="zh-CN"/>
              </w:rPr>
            </w:pPr>
            <w:r>
              <w:rPr>
                <w:rFonts w:hint="eastAsia"/>
                <w:sz w:val="24"/>
                <w:lang w:eastAsia="zh-CN"/>
              </w:rPr>
              <w:t>课件，学具</w:t>
            </w:r>
          </w:p>
        </w:tc>
      </w:tr>
      <w:tr w14:paraId="18C3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306C1CA">
            <w:pPr>
              <w:jc w:val="center"/>
              <w:rPr>
                <w:b/>
                <w:bCs/>
                <w:sz w:val="24"/>
              </w:rPr>
            </w:pPr>
            <w:r>
              <w:rPr>
                <w:rFonts w:hint="eastAsia"/>
                <w:b/>
                <w:bCs/>
                <w:sz w:val="24"/>
              </w:rPr>
              <w:t>课时安排</w:t>
            </w:r>
          </w:p>
        </w:tc>
        <w:tc>
          <w:tcPr>
            <w:tcW w:w="8264" w:type="dxa"/>
            <w:vAlign w:val="center"/>
          </w:tcPr>
          <w:p w14:paraId="14732AFC">
            <w:pPr>
              <w:jc w:val="center"/>
              <w:rPr>
                <w:rFonts w:hint="eastAsia" w:eastAsiaTheme="minorEastAsia"/>
                <w:sz w:val="24"/>
                <w:lang w:val="en-US" w:eastAsia="zh-CN"/>
              </w:rPr>
            </w:pPr>
            <w:r>
              <w:rPr>
                <w:rFonts w:hint="eastAsia"/>
                <w:sz w:val="24"/>
                <w:lang w:val="en-US" w:eastAsia="zh-CN"/>
              </w:rPr>
              <w:t>2课时</w:t>
            </w:r>
          </w:p>
        </w:tc>
      </w:tr>
    </w:tbl>
    <w:tbl>
      <w:tblPr>
        <w:tblStyle w:val="7"/>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2098"/>
      </w:tblGrid>
      <w:tr w14:paraId="7880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16F83506">
            <w:pPr>
              <w:rPr>
                <w:sz w:val="24"/>
              </w:rPr>
            </w:pPr>
            <w:r>
              <w:rPr>
                <w:rFonts w:hint="eastAsia"/>
                <w:b/>
                <w:bCs/>
                <w:sz w:val="24"/>
              </w:rPr>
              <w:t>教学活动过程</w:t>
            </w:r>
          </w:p>
        </w:tc>
        <w:tc>
          <w:tcPr>
            <w:tcW w:w="2098" w:type="dxa"/>
            <w:vAlign w:val="center"/>
          </w:tcPr>
          <w:p w14:paraId="5AD87DE8">
            <w:pPr>
              <w:jc w:val="center"/>
              <w:rPr>
                <w:sz w:val="24"/>
              </w:rPr>
            </w:pPr>
            <w:r>
              <w:rPr>
                <w:rFonts w:hint="eastAsia"/>
                <w:sz w:val="24"/>
              </w:rPr>
              <w:t>二次备课</w:t>
            </w:r>
          </w:p>
        </w:tc>
      </w:tr>
      <w:tr w14:paraId="6F06B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63" w:type="dxa"/>
            <w:vAlign w:val="center"/>
          </w:tcPr>
          <w:p w14:paraId="0AFF1EF3">
            <w:pPr>
              <w:pStyle w:val="2"/>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谈话导入</w:t>
            </w:r>
          </w:p>
          <w:p w14:paraId="36B16E22">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师：同学们，前面几节课我们已经学习了第二单元《6～10的认识和加减法》，今天这节课我们将对本单元的内容进行整理与复习。在第一单元我们已经了解过整理与复习的方法，谁能说一说呢？</w:t>
            </w:r>
          </w:p>
          <w:p w14:paraId="00D48939">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【学情预设】可以请数学书来帮忙，按照学习的顺序找到学过的知识点。</w:t>
            </w:r>
          </w:p>
          <w:p w14:paraId="27324B88">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同学们的这个方法真不错，整理就是把我们学过的知识梳理得整整齐齐的，复习呢，就是让学过的知识在我们的头脑中排好队，再用它们去解决一些实际问题。接下来我们就按大家说的方法一起来将本单元的知识进行整理和复习。</w:t>
            </w:r>
          </w:p>
          <w:p w14:paraId="2B0AFD89">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楷体" w:hAnsi="楷体" w:eastAsia="楷体" w:cs="楷体"/>
                <w:b w:val="0"/>
                <w:bCs w:val="0"/>
                <w:sz w:val="24"/>
                <w:szCs w:val="24"/>
              </w:rPr>
            </w:pPr>
            <w:r>
              <w:rPr>
                <w:rFonts w:hint="eastAsia" w:ascii="楷体" w:hAnsi="楷体" w:eastAsia="楷体" w:cs="楷体"/>
                <w:b w:val="0"/>
                <w:bCs w:val="0"/>
                <w:sz w:val="24"/>
                <w:szCs w:val="24"/>
              </w:rPr>
              <w:t>【设计意图】引导学生回忆整理与复习的方法，直接揭示本课时的学习内容。</w:t>
            </w:r>
          </w:p>
          <w:p w14:paraId="6DA4A661">
            <w:pPr>
              <w:pStyle w:val="2"/>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整理复习本单元内容</w:t>
            </w:r>
          </w:p>
          <w:p w14:paraId="1D3BB44D">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师：请同学打开数学书，翻到第34页，这是本单元的开始，一直到66页，这是本单元的结束。请同学们翻看这部分内容，找找本单元我们学习了什么。</w:t>
            </w:r>
          </w:p>
          <w:p w14:paraId="0B53EBA0">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【学情预设】学生会说到“6、7、8、9、10的认识及组成”“10以内的加减法”“连加、连减”“加、减混合”“解决问题”等。</w:t>
            </w:r>
          </w:p>
          <w:p w14:paraId="145B2B8F">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师：回忆一下，在6～10的认识中，你学到了什么？都有哪些收获呢？</w:t>
            </w:r>
          </w:p>
          <w:p w14:paraId="04414B9C">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组织学生汇报交流。</w:t>
            </w:r>
          </w:p>
          <w:p w14:paraId="2B8DB98C">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【学情预设】认识了6～10</w:t>
            </w:r>
          </w:p>
          <w:p w14:paraId="45568A7A">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师：我们一起从0开始一起数一数吧，0、1、2、3、4、5、6、7、8、9、10。</w:t>
            </w:r>
          </w:p>
          <w:p w14:paraId="214230E7">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师：还可以倒着数一数：10、9、8、7、6、5、4、3、2、1、0。</w:t>
            </w:r>
          </w:p>
          <w:p w14:paraId="59032384">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师：还学习了什么呢？</w:t>
            </w:r>
          </w:p>
          <w:p w14:paraId="31A9A94A">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【学情预设】我还学会了比较大小的方法。师：当表示物体的多少时，确实可以比较数的大小，当表示物体的顺序时，就不能比较大小了。大家能举一个用数表示顺序的例子吗？</w:t>
            </w:r>
          </w:p>
          <w:p w14:paraId="391F5F8C">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【学情预设】从前往后数我排在第3，从后往前数我排在第5。</w:t>
            </w:r>
          </w:p>
          <w:p w14:paraId="6703B153">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师：同学们真棒，已经可以完整地表述了。大家还有哪些收获呢？</w:t>
            </w:r>
          </w:p>
          <w:p w14:paraId="15344F7C">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【学情预设】我还知道了6～10的分与合。</w:t>
            </w:r>
          </w:p>
          <w:p w14:paraId="5ADC0E58">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师：我们在写数的分与合时要注意按顺序写，或者成对写，这样才能做到不重复不遗漏。</w:t>
            </w:r>
          </w:p>
          <w:p w14:paraId="6DC67890">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【学情预设】我还会根据分与合写加法算式和减法算式，还会列“一图四式”呢。</w:t>
            </w:r>
          </w:p>
          <w:p w14:paraId="42277E33">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师：“一图四式”是什么意思？</w:t>
            </w:r>
          </w:p>
          <w:p w14:paraId="30240821">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【学情预设】就是指根据一幅图可以列两道加法算式和两道减法算式。</w:t>
            </w:r>
          </w:p>
          <w:p w14:paraId="490EFA86">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师：同学们真厉害，已经掌握了这么多知识。本单元我们还学习了哪些内容？</w:t>
            </w:r>
          </w:p>
          <w:p w14:paraId="14CD2945">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【学情预设】我还学会了用加、减法解决实际问题，把两部分合起来，求总数量，要用加法计算；从总量中去掉一部分求剩下的部分要用减法计算。</w:t>
            </w:r>
          </w:p>
          <w:p w14:paraId="0C2140A7">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师：是的，有的时候我们还会用连加、连减或加减混合运算来解决实际问题，要想知道到底该采取哪种方法，就一定要先把图的意思理解清楚，再列式计算。</w:t>
            </w:r>
          </w:p>
          <w:p w14:paraId="3AA00590">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师：同学们都总结得很全面，我们先来回忆下之前画“知识图”的方法吧。</w:t>
            </w:r>
          </w:p>
          <w:p w14:paraId="3E2130F4">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课件展示学生之间画的“知识图”，再由学生介绍方法。</w:t>
            </w:r>
          </w:p>
          <w:p w14:paraId="00D50E78">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学生独立完成本单元“知识图”，教师组织交流分享。</w:t>
            </w:r>
          </w:p>
          <w:p w14:paraId="4079DC8E">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楷体" w:hAnsi="楷体" w:eastAsia="楷体" w:cs="楷体"/>
                <w:b w:val="0"/>
                <w:bCs w:val="0"/>
                <w:sz w:val="24"/>
                <w:szCs w:val="24"/>
              </w:rPr>
              <w:t>【设计意图】通过师生对话、生生对话的方式将本单元的知识进行梳理与复习，加深学生印象。学生画“知识图”，可以增加符号意识，学会分类与整理。</w:t>
            </w:r>
          </w:p>
          <w:p w14:paraId="05DE2690">
            <w:pPr>
              <w:pStyle w:val="2"/>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巩固练习</w:t>
            </w:r>
          </w:p>
          <w:p w14:paraId="15DF1955">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1.完成教科书P65“做一做”第1题。</w:t>
            </w:r>
          </w:p>
          <w:p w14:paraId="3FC35D61">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学生独立完成，再在小组内交流。</w:t>
            </w:r>
          </w:p>
          <w:p w14:paraId="4B1B455A">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【设计意图】培养学生的观察意识和能力，将有序数数蕴藏在有趣的活动中，让学生加强练习数数，认识数序。</w:t>
            </w:r>
          </w:p>
          <w:p w14:paraId="69CCEB0F">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2.完成教科书P65~66“做一做”第2、6题。</w:t>
            </w:r>
          </w:p>
          <w:p w14:paraId="439ADBF6">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学生独立完成计算，然后集体订正。</w:t>
            </w:r>
          </w:p>
          <w:p w14:paraId="2E8794E3">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【设计意图】在本单元学习结束时，对学生计算速度要有所要求，对算得慢的学生要鼓励他们提高计算的速度。</w:t>
            </w:r>
          </w:p>
          <w:p w14:paraId="5711FAE3">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3.完成教科书P66“做一做”第7题。</w:t>
            </w:r>
          </w:p>
          <w:p w14:paraId="7B76D8E0">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教师让学生先说说题目的意思，明确要解决的问题，再让学生独立填写。</w:t>
            </w:r>
          </w:p>
          <w:p w14:paraId="1A2E3804">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学生完成后，在小组内交流，教师巡视指导。</w:t>
            </w:r>
          </w:p>
          <w:p w14:paraId="7172590A">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【学情预设】引导学生讨论应该如何选数，每个算式里的3个数都要从给定的10个数里选，并且能够满足使加法算式或减法算式成立。</w:t>
            </w:r>
          </w:p>
          <w:p w14:paraId="4B60850D">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4.完成教科书P66“做一做”第8题。</w:t>
            </w:r>
          </w:p>
          <w:p w14:paraId="456609E7">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教师先引导学生理解“最小”的意思，再由学生独立完成。</w:t>
            </w:r>
          </w:p>
          <w:p w14:paraId="1FD887BF">
            <w:pPr>
              <w:pStyle w:val="2"/>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楷体" w:hAnsi="楷体" w:eastAsia="楷体" w:cs="楷体"/>
                <w:b w:val="0"/>
                <w:bCs w:val="0"/>
                <w:sz w:val="24"/>
                <w:szCs w:val="24"/>
              </w:rPr>
            </w:pPr>
            <w:r>
              <w:rPr>
                <w:rFonts w:hint="eastAsia" w:ascii="楷体" w:hAnsi="楷体" w:eastAsia="楷体" w:cs="楷体"/>
                <w:b w:val="0"/>
                <w:bCs w:val="0"/>
                <w:sz w:val="24"/>
                <w:szCs w:val="24"/>
              </w:rPr>
              <w:t>【设计意图】本题重在考察比较大小和找相邻数，题目中都是找比已知数大的最小数，就是找比已知数大1的相邻数。</w:t>
            </w:r>
          </w:p>
          <w:p w14:paraId="10071C93">
            <w:pPr>
              <w:pStyle w:val="2"/>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课堂小结</w:t>
            </w:r>
          </w:p>
          <w:p w14:paraId="2A2DD835">
            <w:pPr>
              <w:pStyle w:val="2"/>
              <w:keepNext w:val="0"/>
              <w:keepLines w:val="0"/>
              <w:pageBreakBefore w:val="0"/>
              <w:widowControl w:val="0"/>
              <w:kinsoku/>
              <w:wordWrap/>
              <w:overflowPunct/>
              <w:topLinePunct w:val="0"/>
              <w:autoSpaceDE/>
              <w:autoSpaceDN/>
              <w:bidi w:val="0"/>
              <w:adjustRightInd/>
              <w:snapToGrid/>
              <w:ind w:left="420" w:leftChars="200"/>
              <w:textAlignment w:val="auto"/>
              <w:rPr>
                <w:sz w:val="24"/>
              </w:rPr>
            </w:pPr>
            <w:r>
              <w:rPr>
                <w:rFonts w:hint="eastAsia" w:ascii="宋体" w:hAnsi="宋体" w:eastAsia="宋体" w:cs="宋体"/>
                <w:b w:val="0"/>
                <w:bCs w:val="0"/>
                <w:sz w:val="24"/>
                <w:szCs w:val="24"/>
              </w:rPr>
              <w:t>师：说一说这节课你们有什么收获。</w:t>
            </w:r>
          </w:p>
        </w:tc>
        <w:tc>
          <w:tcPr>
            <w:tcW w:w="2098" w:type="dxa"/>
            <w:vAlign w:val="center"/>
          </w:tcPr>
          <w:p w14:paraId="19507C66">
            <w:pPr>
              <w:rPr>
                <w:sz w:val="24"/>
              </w:rPr>
            </w:pPr>
          </w:p>
        </w:tc>
      </w:tr>
      <w:tr w14:paraId="7F833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74644507">
            <w:pPr>
              <w:rPr>
                <w:sz w:val="24"/>
              </w:rPr>
            </w:pPr>
            <w:r>
              <w:rPr>
                <w:rFonts w:hint="eastAsia"/>
                <w:b/>
                <w:bCs/>
                <w:sz w:val="24"/>
              </w:rPr>
              <w:t>作业布置</w:t>
            </w:r>
          </w:p>
        </w:tc>
        <w:tc>
          <w:tcPr>
            <w:tcW w:w="2098" w:type="dxa"/>
            <w:vAlign w:val="center"/>
          </w:tcPr>
          <w:p w14:paraId="6603C190">
            <w:pPr>
              <w:jc w:val="center"/>
              <w:rPr>
                <w:sz w:val="24"/>
              </w:rPr>
            </w:pPr>
          </w:p>
        </w:tc>
      </w:tr>
      <w:tr w14:paraId="58B8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trPr>
        <w:tc>
          <w:tcPr>
            <w:tcW w:w="7763" w:type="dxa"/>
            <w:vAlign w:val="center"/>
          </w:tcPr>
          <w:p w14:paraId="536399AE">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eastAsia"/>
                <w:sz w:val="24"/>
                <w:lang w:val="en-US" w:eastAsia="zh-CN"/>
              </w:rPr>
            </w:pPr>
            <w:r>
              <w:rPr>
                <w:rFonts w:hint="eastAsia"/>
                <w:sz w:val="24"/>
                <w:lang w:val="en-US" w:eastAsia="zh-CN"/>
              </w:rPr>
              <w:t>完成家庭本上的计算题。</w:t>
            </w:r>
          </w:p>
          <w:p w14:paraId="4069CCD4">
            <w:pPr>
              <w:keepNext w:val="0"/>
              <w:keepLines w:val="0"/>
              <w:pageBreakBefore w:val="0"/>
              <w:widowControl w:val="0"/>
              <w:numPr>
                <w:ilvl w:val="0"/>
                <w:numId w:val="2"/>
              </w:numPr>
              <w:kinsoku/>
              <w:wordWrap/>
              <w:overflowPunct/>
              <w:topLinePunct w:val="0"/>
              <w:autoSpaceDE/>
              <w:autoSpaceDN/>
              <w:bidi w:val="0"/>
              <w:adjustRightInd/>
              <w:snapToGrid/>
              <w:textAlignment w:val="auto"/>
              <w:rPr>
                <w:sz w:val="24"/>
              </w:rPr>
            </w:pPr>
            <w:r>
              <w:rPr>
                <w:rFonts w:hint="eastAsia"/>
                <w:sz w:val="24"/>
                <w:lang w:val="en-US" w:eastAsia="zh-CN"/>
              </w:rPr>
              <w:t>和爸爸妈妈说一说这个单元你学到了哪些知识。</w:t>
            </w:r>
          </w:p>
        </w:tc>
        <w:tc>
          <w:tcPr>
            <w:tcW w:w="2098" w:type="dxa"/>
            <w:vAlign w:val="center"/>
          </w:tcPr>
          <w:p w14:paraId="46A19A8E">
            <w:pPr>
              <w:rPr>
                <w:sz w:val="24"/>
              </w:rPr>
            </w:pPr>
          </w:p>
        </w:tc>
      </w:tr>
      <w:tr w14:paraId="7E8E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2AD9534F">
            <w:pPr>
              <w:rPr>
                <w:sz w:val="24"/>
              </w:rPr>
            </w:pPr>
            <w:r>
              <w:rPr>
                <w:rFonts w:hint="eastAsia"/>
                <w:b/>
                <w:bCs/>
                <w:sz w:val="24"/>
              </w:rPr>
              <w:t>板书设计</w:t>
            </w:r>
          </w:p>
        </w:tc>
      </w:tr>
      <w:tr w14:paraId="678A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8" w:hRule="atLeast"/>
        </w:trPr>
        <w:tc>
          <w:tcPr>
            <w:tcW w:w="9861" w:type="dxa"/>
            <w:gridSpan w:val="2"/>
            <w:vAlign w:val="center"/>
          </w:tcPr>
          <w:p w14:paraId="06E8CDB9">
            <w:pPr>
              <w:rPr>
                <w:sz w:val="24"/>
              </w:rPr>
            </w:pPr>
          </w:p>
          <w:p w14:paraId="0CE2C96C">
            <w:pPr>
              <w:rPr>
                <w:sz w:val="24"/>
              </w:rPr>
            </w:pPr>
            <w:r>
              <w:rPr>
                <w:rFonts w:hint="eastAsia" w:eastAsiaTheme="minorEastAsia"/>
                <w:sz w:val="24"/>
                <w:lang w:eastAsia="zh-CN"/>
              </w:rPr>
              <w:drawing>
                <wp:anchor distT="0" distB="0" distL="114300" distR="114300" simplePos="0" relativeHeight="251659264" behindDoc="0" locked="0" layoutInCell="1" allowOverlap="1">
                  <wp:simplePos x="0" y="0"/>
                  <wp:positionH relativeFrom="column">
                    <wp:posOffset>952500</wp:posOffset>
                  </wp:positionH>
                  <wp:positionV relativeFrom="paragraph">
                    <wp:posOffset>67945</wp:posOffset>
                  </wp:positionV>
                  <wp:extent cx="4019550" cy="2388870"/>
                  <wp:effectExtent l="0" t="0" r="0" b="0"/>
                  <wp:wrapTopAndBottom/>
                  <wp:docPr id="4" name="图片 4" descr="d210a7bf37e11e690291ec3cca604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210a7bf37e11e690291ec3cca6041a"/>
                          <pic:cNvPicPr>
                            <a:picLocks noChangeAspect="1"/>
                          </pic:cNvPicPr>
                        </pic:nvPicPr>
                        <pic:blipFill>
                          <a:blip r:embed="rId10"/>
                          <a:stretch>
                            <a:fillRect/>
                          </a:stretch>
                        </pic:blipFill>
                        <pic:spPr>
                          <a:xfrm>
                            <a:off x="0" y="0"/>
                            <a:ext cx="4019550" cy="2388870"/>
                          </a:xfrm>
                          <a:prstGeom prst="rect">
                            <a:avLst/>
                          </a:prstGeom>
                        </pic:spPr>
                      </pic:pic>
                    </a:graphicData>
                  </a:graphic>
                </wp:anchor>
              </w:drawing>
            </w:r>
          </w:p>
        </w:tc>
      </w:tr>
      <w:tr w14:paraId="6921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6BD9CBF5">
            <w:pPr>
              <w:rPr>
                <w:sz w:val="24"/>
              </w:rPr>
            </w:pPr>
            <w:r>
              <w:rPr>
                <w:rFonts w:hint="eastAsia"/>
                <w:b/>
                <w:bCs/>
                <w:sz w:val="24"/>
              </w:rPr>
              <w:t>教学反思</w:t>
            </w:r>
          </w:p>
        </w:tc>
      </w:tr>
      <w:tr w14:paraId="4986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trPr>
        <w:tc>
          <w:tcPr>
            <w:tcW w:w="9861" w:type="dxa"/>
            <w:gridSpan w:val="2"/>
            <w:vAlign w:val="center"/>
          </w:tcPr>
          <w:p w14:paraId="406FB58B">
            <w:pPr>
              <w:rPr>
                <w:sz w:val="24"/>
              </w:rPr>
            </w:pPr>
          </w:p>
        </w:tc>
      </w:tr>
    </w:tbl>
    <w:p w14:paraId="2201E230">
      <w:pPr>
        <w:rPr>
          <w:sz w:val="24"/>
          <w:u w:val="single"/>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40" w:right="1134" w:bottom="1440" w:left="113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5512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4D5E3">
                          <w:pPr>
                            <w:pStyle w:val="4"/>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C44D5E3">
                    <w:pPr>
                      <w:pStyle w:val="4"/>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185E6">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B037C">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E7236">
    <w:pPr>
      <w:pStyle w:val="5"/>
    </w:pPr>
    <w:r>
      <w:rPr>
        <w:rFonts w:hint="eastAsia"/>
      </w:rPr>
      <w:drawing>
        <wp:inline distT="0" distB="0" distL="114300" distR="114300">
          <wp:extent cx="302260" cy="303530"/>
          <wp:effectExtent l="0" t="0" r="2540" b="1270"/>
          <wp:docPr id="2" name="图片 2" descr="校徽（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校徽（透明）"/>
                  <pic:cNvPicPr>
                    <a:picLocks noChangeAspect="1"/>
                  </pic:cNvPicPr>
                </pic:nvPicPr>
                <pic:blipFill>
                  <a:blip r:embed="rId1"/>
                  <a:stretch>
                    <a:fillRect/>
                  </a:stretch>
                </pic:blipFill>
                <pic:spPr>
                  <a:xfrm>
                    <a:off x="0" y="0"/>
                    <a:ext cx="302260" cy="303530"/>
                  </a:xfrm>
                  <a:prstGeom prst="rect">
                    <a:avLst/>
                  </a:prstGeom>
                </pic:spPr>
              </pic:pic>
            </a:graphicData>
          </a:graphic>
        </wp:inline>
      </w:drawing>
    </w:r>
    <w:r>
      <w:rPr>
        <w:rFonts w:hint="eastAsia"/>
      </w:rPr>
      <w:t xml:space="preserve"> </w:t>
    </w:r>
    <w:r>
      <w:rPr>
        <w:rFonts w:hint="eastAsia" w:ascii="楷体" w:hAnsi="楷体" w:eastAsia="楷体" w:cs="楷体"/>
        <w:b/>
        <w:bCs/>
      </w:rPr>
      <w:t xml:space="preserve">  银川市金凤区第十八小学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B3CFB">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3C632">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A811FA"/>
    <w:multiLevelType w:val="singleLevel"/>
    <w:tmpl w:val="A7A811FA"/>
    <w:lvl w:ilvl="0" w:tentative="0">
      <w:start w:val="1"/>
      <w:numFmt w:val="decimal"/>
      <w:lvlText w:val="%1."/>
      <w:lvlJc w:val="left"/>
      <w:pPr>
        <w:tabs>
          <w:tab w:val="left" w:pos="312"/>
        </w:tabs>
      </w:pPr>
    </w:lvl>
  </w:abstractNum>
  <w:abstractNum w:abstractNumId="1">
    <w:nsid w:val="59310767"/>
    <w:multiLevelType w:val="singleLevel"/>
    <w:tmpl w:val="59310767"/>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iMzAxYjhjNmQ4OGVjZWYxYTdjMzk2ZDUwMTVmOGIifQ=="/>
  </w:docVars>
  <w:rsids>
    <w:rsidRoot w:val="00B747B6"/>
    <w:rsid w:val="00357F0C"/>
    <w:rsid w:val="00400B76"/>
    <w:rsid w:val="00847117"/>
    <w:rsid w:val="00B747B6"/>
    <w:rsid w:val="00FF1AAE"/>
    <w:rsid w:val="07326A4E"/>
    <w:rsid w:val="0F655FF9"/>
    <w:rsid w:val="140D7325"/>
    <w:rsid w:val="1CAC1EBF"/>
    <w:rsid w:val="1FB26B36"/>
    <w:rsid w:val="354E6A2B"/>
    <w:rsid w:val="4D44581B"/>
    <w:rsid w:val="5CF36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99"/>
    <w:rPr>
      <w:rFonts w:ascii="等线" w:hAnsi="Courier New" w:cs="Courier New"/>
    </w:rPr>
  </w:style>
  <w:style w:type="paragraph" w:styleId="3">
    <w:name w:val="Balloon Text"/>
    <w:basedOn w:val="1"/>
    <w:link w:val="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批注框文本 Char"/>
    <w:basedOn w:val="8"/>
    <w:link w:val="3"/>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Pages>
  <Words>1825</Words>
  <Characters>1854</Characters>
  <Lines>1</Lines>
  <Paragraphs>1</Paragraphs>
  <TotalTime>14</TotalTime>
  <ScaleCrop>false</ScaleCrop>
  <LinksUpToDate>false</LinksUpToDate>
  <CharactersWithSpaces>1889</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2021-02-21T08:44:00Z</dcterms:created>
  <dc:creator>MIni</dc:creator>
  <cp:lastModifiedBy>WPS_1663817868</cp:lastModifiedBy>
  <dcterms:modified xsi:type="dcterms:W3CDTF">2024-09-06T06:24:04Z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3CEC0EF27E7041429DB06EF95073FFF9_13</vt:lpwstr>
  </property>
</Properties>
</file>