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FFFFF"/>
  <w:body>
    <w:p w14:paraId="527B6611">
      <w:pPr>
        <w:snapToGrid w:val="0"/>
        <w:rPr>
          <w:rFonts w:eastAsia="方正仿宋_GB2312"/>
          <w:sz w:val="32"/>
          <w:szCs w:val="32"/>
        </w:rPr>
      </w:pPr>
      <w:r>
        <w:rPr>
          <w:rFonts w:hint="eastAsia" w:ascii="仿宋_GB2312" w:eastAsia="仿宋_GB2312"/>
          <w:sz w:val="32"/>
          <w:szCs w:val="32"/>
        </w:rPr>
        <w:t>附</w:t>
      </w:r>
      <w:r>
        <w:rPr>
          <w:rFonts w:hint="eastAsia" w:ascii="仿宋_GB2312" w:eastAsia="仿宋_GB2312"/>
          <w:sz w:val="32"/>
          <w:szCs w:val="32"/>
          <w:lang w:val="en-US" w:eastAsia="zh-CN"/>
        </w:rPr>
        <w:t>5</w:t>
      </w:r>
      <w:r>
        <w:rPr>
          <w:rFonts w:eastAsia="方正仿宋_GB2312"/>
          <w:sz w:val="32"/>
          <w:szCs w:val="32"/>
        </w:rPr>
        <w:t>：</w:t>
      </w:r>
    </w:p>
    <w:p w14:paraId="63076973">
      <w:pPr>
        <w:spacing w:line="440" w:lineRule="exact"/>
        <w:rPr>
          <w:rFonts w:eastAsia="方正仿宋_GB2312"/>
          <w:b/>
          <w:bCs/>
          <w:sz w:val="44"/>
          <w:szCs w:val="44"/>
        </w:rPr>
      </w:pPr>
    </w:p>
    <w:p w14:paraId="2E65415C">
      <w:pPr>
        <w:spacing w:line="480" w:lineRule="auto"/>
        <w:jc w:val="center"/>
        <w:rPr>
          <w:rFonts w:eastAsia="方正小标宋简体"/>
          <w:bCs/>
          <w:sz w:val="44"/>
          <w:szCs w:val="44"/>
        </w:rPr>
      </w:pPr>
      <w:r>
        <w:rPr>
          <w:rFonts w:hint="eastAsia" w:eastAsia="方正小标宋简体"/>
          <w:bCs/>
          <w:sz w:val="44"/>
          <w:szCs w:val="44"/>
        </w:rPr>
        <w:t>2026</w:t>
      </w:r>
      <w:r>
        <w:rPr>
          <w:rFonts w:eastAsia="方正小标宋简体"/>
          <w:bCs/>
          <w:sz w:val="44"/>
          <w:szCs w:val="44"/>
        </w:rPr>
        <w:t>年全国师生数字素养提升实践活动</w:t>
      </w:r>
    </w:p>
    <w:p w14:paraId="7D89456D">
      <w:pPr>
        <w:spacing w:line="480" w:lineRule="auto"/>
        <w:jc w:val="center"/>
        <w:rPr>
          <w:rFonts w:eastAsia="方正小标宋简体"/>
          <w:bCs/>
          <w:sz w:val="44"/>
          <w:szCs w:val="44"/>
        </w:rPr>
      </w:pPr>
      <w:r>
        <w:rPr>
          <w:rFonts w:eastAsia="方正小标宋简体"/>
          <w:bCs/>
          <w:sz w:val="44"/>
          <w:szCs w:val="44"/>
        </w:rPr>
        <w:t>（第</w:t>
      </w:r>
      <w:r>
        <w:rPr>
          <w:rFonts w:hint="eastAsia" w:eastAsia="方正小标宋简体"/>
          <w:bCs/>
          <w:sz w:val="44"/>
          <w:szCs w:val="44"/>
        </w:rPr>
        <w:t>三十</w:t>
      </w:r>
      <w:r>
        <w:rPr>
          <w:rFonts w:eastAsia="方正小标宋简体"/>
          <w:bCs/>
          <w:sz w:val="44"/>
          <w:szCs w:val="44"/>
        </w:rPr>
        <w:t>届教师活动）</w:t>
      </w:r>
    </w:p>
    <w:p w14:paraId="16397317">
      <w:pPr>
        <w:spacing w:line="480" w:lineRule="auto"/>
        <w:jc w:val="center"/>
        <w:rPr>
          <w:rFonts w:eastAsia="方正小标宋简体"/>
          <w:bCs/>
          <w:sz w:val="44"/>
          <w:szCs w:val="44"/>
        </w:rPr>
      </w:pPr>
      <w:r>
        <w:rPr>
          <w:rFonts w:hint="eastAsia" w:eastAsia="方正小标宋简体"/>
          <w:bCs/>
          <w:sz w:val="44"/>
          <w:szCs w:val="44"/>
        </w:rPr>
        <w:t>论文专项</w:t>
      </w:r>
    </w:p>
    <w:p w14:paraId="35010303">
      <w:pPr>
        <w:spacing w:line="480" w:lineRule="auto"/>
        <w:jc w:val="center"/>
        <w:rPr>
          <w:rFonts w:eastAsia="方正小标宋简体"/>
          <w:bCs/>
          <w:spacing w:val="-20"/>
          <w:sz w:val="44"/>
          <w:szCs w:val="44"/>
        </w:rPr>
      </w:pPr>
    </w:p>
    <w:p w14:paraId="02DD52C6">
      <w:pPr>
        <w:spacing w:line="480" w:lineRule="auto"/>
        <w:jc w:val="center"/>
        <w:rPr>
          <w:rFonts w:eastAsia="方正小标宋简体"/>
          <w:bCs/>
          <w:spacing w:val="-20"/>
          <w:sz w:val="44"/>
          <w:szCs w:val="44"/>
        </w:rPr>
      </w:pPr>
    </w:p>
    <w:p w14:paraId="7FBD30BF">
      <w:pPr>
        <w:spacing w:after="62" w:afterLines="20" w:line="480" w:lineRule="auto"/>
        <w:jc w:val="center"/>
        <w:rPr>
          <w:rFonts w:eastAsia="方正小标宋简体"/>
          <w:bCs/>
          <w:spacing w:val="-20"/>
          <w:sz w:val="44"/>
          <w:szCs w:val="44"/>
        </w:rPr>
      </w:pPr>
    </w:p>
    <w:p w14:paraId="1803FFC9">
      <w:pPr>
        <w:spacing w:line="480" w:lineRule="auto"/>
        <w:jc w:val="center"/>
        <w:rPr>
          <w:rFonts w:eastAsia="方正小标宋简体"/>
          <w:bCs/>
          <w:sz w:val="84"/>
          <w:szCs w:val="84"/>
        </w:rPr>
      </w:pPr>
      <w:r>
        <w:rPr>
          <w:rFonts w:eastAsia="方正小标宋简体"/>
          <w:bCs/>
          <w:sz w:val="84"/>
          <w:szCs w:val="84"/>
        </w:rPr>
        <w:t>指  南</w:t>
      </w:r>
    </w:p>
    <w:p w14:paraId="6C7877E4">
      <w:pPr>
        <w:spacing w:line="460" w:lineRule="exact"/>
        <w:jc w:val="center"/>
        <w:rPr>
          <w:rFonts w:eastAsia="楷体_GB2312"/>
          <w:b/>
          <w:bCs/>
          <w:color w:val="000000"/>
          <w:sz w:val="72"/>
        </w:rPr>
      </w:pPr>
    </w:p>
    <w:p w14:paraId="649C56AB">
      <w:pPr>
        <w:spacing w:line="460" w:lineRule="exact"/>
        <w:jc w:val="center"/>
        <w:rPr>
          <w:rFonts w:eastAsia="楷体_GB2312"/>
          <w:b/>
          <w:bCs/>
          <w:color w:val="000000"/>
          <w:sz w:val="72"/>
        </w:rPr>
      </w:pPr>
    </w:p>
    <w:p w14:paraId="5CB5CD3D">
      <w:pPr>
        <w:spacing w:line="460" w:lineRule="exact"/>
        <w:jc w:val="center"/>
        <w:rPr>
          <w:rFonts w:eastAsia="楷体_GB2312"/>
          <w:b/>
          <w:bCs/>
          <w:color w:val="000000"/>
          <w:sz w:val="72"/>
        </w:rPr>
      </w:pPr>
    </w:p>
    <w:p w14:paraId="458F854F">
      <w:pPr>
        <w:spacing w:line="460" w:lineRule="exact"/>
        <w:jc w:val="center"/>
        <w:rPr>
          <w:rFonts w:eastAsia="楷体_GB2312"/>
          <w:b/>
          <w:bCs/>
          <w:color w:val="000000"/>
          <w:sz w:val="72"/>
        </w:rPr>
      </w:pPr>
    </w:p>
    <w:p w14:paraId="2DFA13F9">
      <w:pPr>
        <w:spacing w:line="460" w:lineRule="exact"/>
        <w:jc w:val="center"/>
        <w:rPr>
          <w:rFonts w:eastAsia="楷体_GB2312"/>
          <w:b/>
          <w:bCs/>
          <w:color w:val="000000"/>
          <w:sz w:val="72"/>
        </w:rPr>
      </w:pPr>
    </w:p>
    <w:p w14:paraId="6DDCFCFD">
      <w:pPr>
        <w:spacing w:line="460" w:lineRule="exact"/>
        <w:jc w:val="center"/>
        <w:rPr>
          <w:rFonts w:eastAsia="楷体_GB2312"/>
          <w:b/>
          <w:bCs/>
          <w:color w:val="000000"/>
          <w:sz w:val="72"/>
        </w:rPr>
      </w:pPr>
    </w:p>
    <w:p w14:paraId="51E26554">
      <w:pPr>
        <w:spacing w:line="460" w:lineRule="exact"/>
        <w:jc w:val="center"/>
        <w:rPr>
          <w:rFonts w:eastAsia="楷体_GB2312"/>
          <w:b/>
          <w:bCs/>
          <w:color w:val="000000"/>
          <w:sz w:val="72"/>
        </w:rPr>
      </w:pPr>
    </w:p>
    <w:p w14:paraId="7556253F">
      <w:pPr>
        <w:spacing w:line="460" w:lineRule="exact"/>
        <w:jc w:val="center"/>
        <w:rPr>
          <w:rFonts w:eastAsia="楷体_GB2312"/>
          <w:b/>
          <w:bCs/>
          <w:color w:val="000000"/>
          <w:sz w:val="72"/>
        </w:rPr>
      </w:pPr>
    </w:p>
    <w:p w14:paraId="04DFEB02">
      <w:pPr>
        <w:spacing w:line="460" w:lineRule="exact"/>
        <w:jc w:val="center"/>
        <w:rPr>
          <w:rFonts w:eastAsia="楷体_GB2312"/>
          <w:b/>
          <w:bCs/>
          <w:color w:val="000000"/>
          <w:sz w:val="72"/>
        </w:rPr>
      </w:pPr>
    </w:p>
    <w:p w14:paraId="1D476ECA">
      <w:pPr>
        <w:spacing w:line="460" w:lineRule="exact"/>
        <w:jc w:val="center"/>
        <w:rPr>
          <w:rFonts w:eastAsia="楷体_GB2312"/>
          <w:b/>
          <w:bCs/>
          <w:color w:val="000000"/>
          <w:sz w:val="72"/>
        </w:rPr>
      </w:pPr>
    </w:p>
    <w:p w14:paraId="587204A9">
      <w:pPr>
        <w:spacing w:line="460" w:lineRule="exact"/>
        <w:jc w:val="center"/>
        <w:rPr>
          <w:rFonts w:eastAsia="楷体_GB2312"/>
          <w:b/>
          <w:bCs/>
          <w:color w:val="000000"/>
          <w:sz w:val="72"/>
        </w:rPr>
      </w:pPr>
    </w:p>
    <w:p w14:paraId="2929B9F6">
      <w:pPr>
        <w:jc w:val="center"/>
        <w:rPr>
          <w:rFonts w:hint="eastAsia" w:ascii="方正小标宋简体" w:hAnsi="宋体" w:eastAsia="方正小标宋简体"/>
          <w:bCs/>
          <w:color w:val="000000"/>
          <w:sz w:val="32"/>
        </w:rPr>
      </w:pPr>
      <w:r>
        <w:rPr>
          <w:rFonts w:eastAsia="方正小标宋简体"/>
          <w:bCs/>
          <w:color w:val="000000"/>
          <w:sz w:val="32"/>
        </w:rPr>
        <w:t>2026</w:t>
      </w:r>
      <w:r>
        <w:rPr>
          <w:rFonts w:hint="eastAsia" w:ascii="方正小标宋简体" w:hAnsi="宋体" w:eastAsia="方正小标宋简体"/>
          <w:bCs/>
          <w:color w:val="000000"/>
          <w:sz w:val="32"/>
        </w:rPr>
        <w:t>年</w:t>
      </w:r>
      <w:r>
        <w:rPr>
          <w:rFonts w:eastAsia="方正小标宋简体"/>
          <w:bCs/>
          <w:color w:val="000000"/>
          <w:sz w:val="32"/>
        </w:rPr>
        <w:t>4</w:t>
      </w:r>
      <w:r>
        <w:rPr>
          <w:rFonts w:hint="eastAsia" w:ascii="方正小标宋简体" w:hAnsi="宋体" w:eastAsia="方正小标宋简体"/>
          <w:bCs/>
          <w:color w:val="000000"/>
          <w:sz w:val="32"/>
        </w:rPr>
        <w:t>月</w:t>
      </w:r>
    </w:p>
    <w:p w14:paraId="40CFE1CB">
      <w:pPr>
        <w:spacing w:line="460" w:lineRule="exact"/>
        <w:jc w:val="center"/>
        <w:rPr>
          <w:rFonts w:eastAsia="楷体_GB2312"/>
          <w:b/>
          <w:bCs/>
          <w:color w:val="000000"/>
          <w:sz w:val="72"/>
        </w:rPr>
      </w:pPr>
    </w:p>
    <w:p w14:paraId="0215F0E8">
      <w:pPr>
        <w:spacing w:line="460" w:lineRule="exact"/>
        <w:jc w:val="center"/>
        <w:rPr>
          <w:rFonts w:eastAsia="方正小标宋简体"/>
          <w:b/>
          <w:bCs/>
          <w:sz w:val="32"/>
          <w:szCs w:val="32"/>
        </w:rPr>
      </w:pPr>
    </w:p>
    <w:p w14:paraId="1EC7A4B0">
      <w:pPr>
        <w:jc w:val="center"/>
        <w:rPr>
          <w:rFonts w:hint="eastAsia" w:ascii="黑体" w:hAnsi="宋体" w:eastAsia="黑体" w:cs="黑体"/>
          <w:sz w:val="36"/>
          <w:szCs w:val="36"/>
          <w:lang w:bidi="ar"/>
        </w:rPr>
        <w:sectPr>
          <w:footerReference r:id="rId4" w:type="first"/>
          <w:footerReference r:id="rId3" w:type="default"/>
          <w:footnotePr>
            <w:pos w:val="beneathText"/>
            <w:numRestart w:val="eachPage"/>
          </w:footnotePr>
          <w:pgSz w:w="11906" w:h="16838"/>
          <w:pgMar w:top="1440" w:right="1797" w:bottom="1440" w:left="1797" w:header="851" w:footer="992" w:gutter="0"/>
          <w:pgNumType w:fmt="numberInDash" w:start="1"/>
          <w:cols w:space="720" w:num="1"/>
          <w:titlePg/>
          <w:docGrid w:type="lines" w:linePitch="312" w:charSpace="0"/>
        </w:sectPr>
      </w:pPr>
    </w:p>
    <w:p w14:paraId="6C05B473">
      <w:pPr>
        <w:jc w:val="center"/>
        <w:rPr>
          <w:rFonts w:hint="eastAsia" w:ascii="黑体" w:hAnsi="宋体" w:eastAsia="黑体" w:cs="黑体"/>
          <w:sz w:val="36"/>
          <w:szCs w:val="36"/>
        </w:rPr>
      </w:pPr>
      <w:r>
        <w:rPr>
          <w:rFonts w:hint="eastAsia" w:ascii="黑体" w:hAnsi="宋体" w:eastAsia="黑体" w:cs="黑体"/>
          <w:sz w:val="36"/>
          <w:szCs w:val="36"/>
          <w:lang w:bidi="ar"/>
        </w:rPr>
        <w:t>目  录</w:t>
      </w:r>
    </w:p>
    <w:p w14:paraId="31E89FAE">
      <w:pPr>
        <w:pStyle w:val="10"/>
        <w:widowControl/>
        <w:tabs>
          <w:tab w:val="right" w:leader="dot" w:pos="8306"/>
        </w:tabs>
        <w:rPr>
          <w:rFonts w:ascii="Times New Roman" w:hAnsi="Times New Roman"/>
          <w:sz w:val="32"/>
          <w:szCs w:val="32"/>
        </w:rPr>
      </w:pPr>
    </w:p>
    <w:p w14:paraId="4442B273">
      <w:pPr>
        <w:pStyle w:val="10"/>
        <w:widowControl/>
        <w:tabs>
          <w:tab w:val="right" w:leader="dot" w:pos="8306"/>
        </w:tabs>
        <w:spacing w:line="440" w:lineRule="exact"/>
        <w:rPr>
          <w:rFonts w:ascii="Times New Roman" w:hAnsi="Times New Roman" w:eastAsia="仿宋_GB2312" w:cs="仿宋_GB2312"/>
          <w:sz w:val="32"/>
          <w:szCs w:val="32"/>
        </w:rPr>
      </w:pPr>
      <w:r>
        <w:fldChar w:fldCharType="begin"/>
      </w:r>
      <w:r>
        <w:instrText xml:space="preserve"> HYPERLINK "file://C:\\Users\\Administrator\\Desktop\\附件：2026年全国师生数字素养提升实践活动（第三十届教师活动）指南.docx" \l "_Toc313 " </w:instrText>
      </w:r>
      <w:r>
        <w:fldChar w:fldCharType="separate"/>
      </w:r>
      <w:r>
        <w:rPr>
          <w:rStyle w:val="18"/>
          <w:rFonts w:hint="eastAsia" w:ascii="仿宋_GB2312" w:hAnsi="Times New Roman" w:eastAsia="仿宋_GB2312" w:cs="仿宋_GB2312"/>
          <w:b/>
          <w:bCs/>
          <w:color w:val="auto"/>
          <w:sz w:val="32"/>
          <w:szCs w:val="32"/>
          <w:u w:val="none"/>
        </w:rPr>
        <w:t>一、人员范围</w:t>
      </w:r>
      <w:r>
        <w:rPr>
          <w:rStyle w:val="18"/>
          <w:rFonts w:hint="eastAsia" w:ascii="Times New Roman" w:hAnsi="Times New Roman" w:eastAsia="仿宋_GB2312" w:cs="仿宋_GB2312"/>
          <w:color w:val="auto"/>
          <w:sz w:val="32"/>
          <w:szCs w:val="32"/>
          <w:u w:val="none"/>
        </w:rPr>
        <w:tab/>
      </w:r>
      <w:r>
        <w:rPr>
          <w:rStyle w:val="18"/>
          <w:rFonts w:hint="eastAsia" w:ascii="Times New Roman" w:hAnsi="Times New Roman" w:eastAsia="仿宋_GB2312" w:cs="仿宋_GB2312"/>
          <w:color w:val="auto"/>
          <w:sz w:val="32"/>
          <w:szCs w:val="32"/>
          <w:u w:val="none"/>
        </w:rPr>
        <w:t>2</w:t>
      </w:r>
      <w:r>
        <w:rPr>
          <w:rStyle w:val="18"/>
          <w:rFonts w:hint="eastAsia" w:ascii="Times New Roman" w:hAnsi="Times New Roman" w:eastAsia="仿宋_GB2312" w:cs="仿宋_GB2312"/>
          <w:color w:val="auto"/>
          <w:sz w:val="32"/>
          <w:szCs w:val="32"/>
          <w:u w:val="none"/>
        </w:rPr>
        <w:fldChar w:fldCharType="end"/>
      </w:r>
    </w:p>
    <w:p w14:paraId="4DC4B041">
      <w:pPr>
        <w:pStyle w:val="10"/>
        <w:widowControl/>
        <w:tabs>
          <w:tab w:val="right" w:leader="dot" w:pos="8306"/>
        </w:tabs>
        <w:spacing w:line="440" w:lineRule="exact"/>
        <w:rPr>
          <w:rFonts w:ascii="Times New Roman" w:hAnsi="Times New Roman" w:eastAsia="仿宋_GB2312" w:cs="仿宋_GB2312"/>
          <w:sz w:val="32"/>
          <w:szCs w:val="32"/>
        </w:rPr>
      </w:pPr>
      <w:r>
        <w:fldChar w:fldCharType="begin"/>
      </w:r>
      <w:r>
        <w:instrText xml:space="preserve"> HYPERLINK "file://C:\\Users\\Administrator\\Desktop\\附件：2026年全国师生数字素养提升实践活动（第三十届教师活动）指南.docx" \l "_Toc18829 " </w:instrText>
      </w:r>
      <w:r>
        <w:fldChar w:fldCharType="separate"/>
      </w:r>
      <w:r>
        <w:rPr>
          <w:rStyle w:val="18"/>
          <w:rFonts w:hint="eastAsia" w:ascii="仿宋_GB2312" w:hAnsi="Times New Roman" w:eastAsia="仿宋_GB2312" w:cs="仿宋_GB2312"/>
          <w:b/>
          <w:bCs/>
          <w:color w:val="auto"/>
          <w:sz w:val="32"/>
          <w:szCs w:val="32"/>
          <w:u w:val="none"/>
        </w:rPr>
        <w:t>二、活动要求</w:t>
      </w:r>
      <w:r>
        <w:rPr>
          <w:rStyle w:val="18"/>
          <w:rFonts w:hint="eastAsia" w:ascii="Times New Roman" w:hAnsi="Times New Roman" w:eastAsia="仿宋_GB2312" w:cs="仿宋_GB2312"/>
          <w:color w:val="auto"/>
          <w:sz w:val="32"/>
          <w:szCs w:val="32"/>
          <w:u w:val="none"/>
        </w:rPr>
        <w:tab/>
      </w:r>
      <w:r>
        <w:rPr>
          <w:rStyle w:val="18"/>
          <w:rFonts w:hint="eastAsia" w:ascii="Times New Roman" w:hAnsi="Times New Roman" w:eastAsia="仿宋_GB2312" w:cs="仿宋_GB2312"/>
          <w:color w:val="auto"/>
          <w:sz w:val="32"/>
          <w:szCs w:val="32"/>
          <w:u w:val="none"/>
        </w:rPr>
        <w:t>2</w:t>
      </w:r>
      <w:r>
        <w:rPr>
          <w:rStyle w:val="18"/>
          <w:rFonts w:hint="eastAsia" w:ascii="Times New Roman" w:hAnsi="Times New Roman" w:eastAsia="仿宋_GB2312" w:cs="仿宋_GB2312"/>
          <w:color w:val="auto"/>
          <w:sz w:val="32"/>
          <w:szCs w:val="32"/>
          <w:u w:val="none"/>
        </w:rPr>
        <w:fldChar w:fldCharType="end"/>
      </w:r>
    </w:p>
    <w:p w14:paraId="0DAA9C96">
      <w:pPr>
        <w:pStyle w:val="12"/>
        <w:widowControl/>
        <w:tabs>
          <w:tab w:val="right" w:leader="dot" w:pos="8306"/>
        </w:tabs>
        <w:spacing w:line="440" w:lineRule="exact"/>
        <w:rPr>
          <w:rFonts w:ascii="Times New Roman" w:hAnsi="Times New Roman" w:eastAsia="仿宋_GB2312" w:cs="仿宋_GB2312"/>
          <w:sz w:val="32"/>
          <w:szCs w:val="32"/>
        </w:rPr>
      </w:pPr>
      <w:r>
        <w:fldChar w:fldCharType="begin"/>
      </w:r>
      <w:r>
        <w:instrText xml:space="preserve"> HYPERLINK "file://C:\\Users\\Administrator\\Desktop\\附件：2026年全国师生数字素养提升实践活动（第三十届教师活动）指南.docx" \l "_Toc3570 " </w:instrText>
      </w:r>
      <w:r>
        <w:fldChar w:fldCharType="separate"/>
      </w:r>
      <w:r>
        <w:rPr>
          <w:rStyle w:val="18"/>
          <w:rFonts w:hint="eastAsia" w:ascii="仿宋_GB2312" w:hAnsi="Times New Roman" w:eastAsia="仿宋_GB2312" w:cs="仿宋_GB2312"/>
          <w:bCs/>
          <w:color w:val="auto"/>
          <w:sz w:val="32"/>
          <w:szCs w:val="32"/>
          <w:u w:val="none"/>
        </w:rPr>
        <w:t>（一）活动主题</w:t>
      </w:r>
      <w:r>
        <w:rPr>
          <w:rStyle w:val="18"/>
          <w:rFonts w:hint="eastAsia" w:ascii="Times New Roman" w:hAnsi="Times New Roman" w:eastAsia="仿宋_GB2312" w:cs="仿宋_GB2312"/>
          <w:color w:val="auto"/>
          <w:sz w:val="32"/>
          <w:szCs w:val="32"/>
          <w:u w:val="none"/>
        </w:rPr>
        <w:tab/>
      </w:r>
      <w:r>
        <w:rPr>
          <w:rStyle w:val="18"/>
          <w:rFonts w:hint="eastAsia" w:ascii="Times New Roman" w:hAnsi="Times New Roman" w:eastAsia="仿宋_GB2312" w:cs="仿宋_GB2312"/>
          <w:color w:val="auto"/>
          <w:sz w:val="32"/>
          <w:szCs w:val="32"/>
          <w:u w:val="none"/>
        </w:rPr>
        <w:t>2</w:t>
      </w:r>
      <w:r>
        <w:rPr>
          <w:rStyle w:val="18"/>
          <w:rFonts w:hint="eastAsia" w:ascii="Times New Roman" w:hAnsi="Times New Roman" w:eastAsia="仿宋_GB2312" w:cs="仿宋_GB2312"/>
          <w:color w:val="auto"/>
          <w:sz w:val="32"/>
          <w:szCs w:val="32"/>
          <w:u w:val="none"/>
        </w:rPr>
        <w:fldChar w:fldCharType="end"/>
      </w:r>
    </w:p>
    <w:p w14:paraId="6545DA57">
      <w:pPr>
        <w:pStyle w:val="12"/>
        <w:widowControl/>
        <w:tabs>
          <w:tab w:val="right" w:leader="dot" w:pos="8306"/>
        </w:tabs>
        <w:spacing w:line="440" w:lineRule="exact"/>
        <w:rPr>
          <w:rFonts w:ascii="Times New Roman" w:hAnsi="Times New Roman" w:eastAsia="仿宋_GB2312" w:cs="仿宋_GB2312"/>
          <w:sz w:val="32"/>
          <w:szCs w:val="32"/>
        </w:rPr>
      </w:pPr>
      <w:r>
        <w:fldChar w:fldCharType="begin"/>
      </w:r>
      <w:r>
        <w:instrText xml:space="preserve"> HYPERLINK "file://C:\\Users\\Administrator\\Desktop\\附件：2026年全国师生数字素养提升实践活动（第三十届教师活动）指南.docx" \l "_Toc7399 " </w:instrText>
      </w:r>
      <w:r>
        <w:fldChar w:fldCharType="separate"/>
      </w:r>
      <w:r>
        <w:rPr>
          <w:rStyle w:val="18"/>
          <w:rFonts w:hint="eastAsia" w:ascii="仿宋_GB2312" w:hAnsi="Times New Roman" w:eastAsia="仿宋_GB2312" w:cs="仿宋_GB2312"/>
          <w:bCs/>
          <w:color w:val="auto"/>
          <w:sz w:val="32"/>
          <w:szCs w:val="32"/>
          <w:u w:val="none"/>
        </w:rPr>
        <w:t>（二）征文要求</w:t>
      </w:r>
      <w:r>
        <w:rPr>
          <w:rStyle w:val="18"/>
          <w:rFonts w:hint="eastAsia" w:ascii="Times New Roman" w:hAnsi="Times New Roman" w:eastAsia="仿宋_GB2312" w:cs="仿宋_GB2312"/>
          <w:color w:val="auto"/>
          <w:sz w:val="32"/>
          <w:szCs w:val="32"/>
          <w:u w:val="none"/>
        </w:rPr>
        <w:tab/>
      </w:r>
      <w:r>
        <w:rPr>
          <w:rStyle w:val="18"/>
          <w:rFonts w:hint="eastAsia" w:ascii="Times New Roman" w:hAnsi="Times New Roman" w:eastAsia="仿宋_GB2312" w:cs="仿宋_GB2312"/>
          <w:color w:val="auto"/>
          <w:sz w:val="32"/>
          <w:szCs w:val="32"/>
          <w:u w:val="none"/>
        </w:rPr>
        <w:t>3</w:t>
      </w:r>
      <w:r>
        <w:rPr>
          <w:rStyle w:val="18"/>
          <w:rFonts w:hint="eastAsia" w:ascii="Times New Roman" w:hAnsi="Times New Roman" w:eastAsia="仿宋_GB2312" w:cs="仿宋_GB2312"/>
          <w:color w:val="auto"/>
          <w:sz w:val="32"/>
          <w:szCs w:val="32"/>
          <w:u w:val="none"/>
        </w:rPr>
        <w:fldChar w:fldCharType="end"/>
      </w:r>
    </w:p>
    <w:p w14:paraId="43D6301E">
      <w:pPr>
        <w:pStyle w:val="12"/>
        <w:widowControl/>
        <w:tabs>
          <w:tab w:val="right" w:leader="dot" w:pos="8306"/>
        </w:tabs>
        <w:spacing w:line="440" w:lineRule="exact"/>
      </w:pPr>
      <w:r>
        <w:fldChar w:fldCharType="begin"/>
      </w:r>
      <w:r>
        <w:instrText xml:space="preserve"> HYPERLINK "file://C:\\Users\\Administrator\\Desktop\\附件：2026年全国师生数字素养提升实践活动（第三十届教师活动）指南.docx" \l "_Toc10184 " </w:instrText>
      </w:r>
      <w:r>
        <w:fldChar w:fldCharType="separate"/>
      </w:r>
      <w:r>
        <w:rPr>
          <w:rStyle w:val="18"/>
          <w:rFonts w:hint="eastAsia" w:ascii="仿宋_GB2312" w:hAnsi="Times New Roman" w:eastAsia="仿宋_GB2312" w:cs="仿宋_GB2312"/>
          <w:bCs/>
          <w:color w:val="auto"/>
          <w:sz w:val="32"/>
          <w:szCs w:val="32"/>
          <w:u w:val="none"/>
        </w:rPr>
        <w:t>（三）撰写要求</w:t>
      </w:r>
      <w:r>
        <w:rPr>
          <w:rStyle w:val="18"/>
          <w:rFonts w:hint="eastAsia" w:ascii="Times New Roman" w:hAnsi="Times New Roman" w:eastAsia="仿宋_GB2312" w:cs="仿宋_GB2312"/>
          <w:color w:val="auto"/>
          <w:sz w:val="32"/>
          <w:szCs w:val="32"/>
          <w:u w:val="none"/>
        </w:rPr>
        <w:tab/>
      </w:r>
      <w:r>
        <w:rPr>
          <w:rStyle w:val="18"/>
          <w:rFonts w:hint="eastAsia" w:ascii="Times New Roman" w:hAnsi="Times New Roman" w:eastAsia="仿宋_GB2312" w:cs="仿宋_GB2312"/>
          <w:color w:val="auto"/>
          <w:sz w:val="32"/>
          <w:szCs w:val="32"/>
          <w:u w:val="none"/>
        </w:rPr>
        <w:t>3</w:t>
      </w:r>
      <w:r>
        <w:rPr>
          <w:rStyle w:val="18"/>
          <w:rFonts w:hint="eastAsia" w:ascii="Times New Roman" w:hAnsi="Times New Roman" w:eastAsia="仿宋_GB2312" w:cs="仿宋_GB2312"/>
          <w:color w:val="auto"/>
          <w:sz w:val="32"/>
          <w:szCs w:val="32"/>
          <w:u w:val="none"/>
        </w:rPr>
        <w:fldChar w:fldCharType="end"/>
      </w:r>
    </w:p>
    <w:p w14:paraId="0B00DA0D">
      <w:pPr>
        <w:pStyle w:val="12"/>
        <w:widowControl/>
        <w:tabs>
          <w:tab w:val="right" w:leader="dot" w:pos="8306"/>
        </w:tabs>
        <w:spacing w:line="440" w:lineRule="exact"/>
        <w:rPr>
          <w:rFonts w:ascii="Times New Roman" w:hAnsi="Times New Roman" w:eastAsia="仿宋_GB2312" w:cs="仿宋_GB2312"/>
          <w:sz w:val="32"/>
          <w:szCs w:val="32"/>
        </w:rPr>
      </w:pPr>
      <w:r>
        <w:fldChar w:fldCharType="begin"/>
      </w:r>
      <w:r>
        <w:instrText xml:space="preserve"> HYPERLINK "file://C:\\Users\\Administrator\\Desktop\\附件：2026年全国师生数字素养提升实践活动（第三十届教师活动）指南.docx" \l "_Toc3570 " </w:instrText>
      </w:r>
      <w:r>
        <w:fldChar w:fldCharType="separate"/>
      </w:r>
      <w:r>
        <w:rPr>
          <w:rStyle w:val="18"/>
          <w:rFonts w:hint="eastAsia" w:ascii="仿宋_GB2312" w:hAnsi="Times New Roman" w:eastAsia="仿宋_GB2312" w:cs="仿宋_GB2312"/>
          <w:bCs/>
          <w:color w:val="auto"/>
          <w:sz w:val="32"/>
          <w:szCs w:val="32"/>
          <w:u w:val="none"/>
        </w:rPr>
        <w:t>（四）论文资格审定</w:t>
      </w:r>
      <w:r>
        <w:rPr>
          <w:rStyle w:val="18"/>
          <w:rFonts w:hint="eastAsia" w:ascii="Times New Roman" w:hAnsi="Times New Roman" w:eastAsia="仿宋_GB2312" w:cs="仿宋_GB2312"/>
          <w:color w:val="auto"/>
          <w:sz w:val="32"/>
          <w:szCs w:val="32"/>
          <w:u w:val="none"/>
        </w:rPr>
        <w:tab/>
      </w:r>
      <w:r>
        <w:rPr>
          <w:rStyle w:val="18"/>
          <w:rFonts w:hint="eastAsia" w:ascii="Times New Roman" w:hAnsi="Times New Roman" w:eastAsia="仿宋_GB2312" w:cs="仿宋_GB2312"/>
          <w:color w:val="auto"/>
          <w:sz w:val="32"/>
          <w:szCs w:val="32"/>
          <w:u w:val="none"/>
        </w:rPr>
        <w:t>4</w:t>
      </w:r>
      <w:r>
        <w:rPr>
          <w:rStyle w:val="18"/>
          <w:rFonts w:hint="eastAsia" w:ascii="Times New Roman" w:hAnsi="Times New Roman" w:eastAsia="仿宋_GB2312" w:cs="仿宋_GB2312"/>
          <w:color w:val="auto"/>
          <w:sz w:val="32"/>
          <w:szCs w:val="32"/>
          <w:u w:val="none"/>
        </w:rPr>
        <w:fldChar w:fldCharType="end"/>
      </w:r>
    </w:p>
    <w:p w14:paraId="3AB9CE75">
      <w:pPr>
        <w:pStyle w:val="10"/>
        <w:widowControl/>
        <w:tabs>
          <w:tab w:val="right" w:leader="dot" w:pos="8306"/>
        </w:tabs>
        <w:spacing w:line="440" w:lineRule="exact"/>
        <w:rPr>
          <w:rFonts w:ascii="Times New Roman" w:hAnsi="Times New Roman" w:eastAsia="仿宋_GB2312" w:cs="仿宋_GB2312"/>
          <w:sz w:val="32"/>
          <w:szCs w:val="32"/>
        </w:rPr>
      </w:pPr>
      <w:r>
        <w:fldChar w:fldCharType="begin"/>
      </w:r>
      <w:r>
        <w:instrText xml:space="preserve"> HYPERLINK "file://C:\\Users\\Administrator\\Desktop\\附件：2026年全国师生数字素养提升实践活动（第三十届教师活动）指南.docx" \l "_Toc15191 " </w:instrText>
      </w:r>
      <w:r>
        <w:fldChar w:fldCharType="separate"/>
      </w:r>
      <w:r>
        <w:rPr>
          <w:rStyle w:val="18"/>
          <w:rFonts w:hint="eastAsia" w:ascii="仿宋_GB2312" w:hAnsi="Times New Roman" w:eastAsia="仿宋_GB2312" w:cs="仿宋_GB2312"/>
          <w:b/>
          <w:bCs/>
          <w:color w:val="auto"/>
          <w:sz w:val="32"/>
          <w:szCs w:val="32"/>
          <w:u w:val="none"/>
        </w:rPr>
        <w:t>三、活动流程</w:t>
      </w:r>
      <w:r>
        <w:rPr>
          <w:rStyle w:val="18"/>
          <w:rFonts w:hint="eastAsia" w:ascii="Times New Roman" w:hAnsi="Times New Roman" w:eastAsia="仿宋_GB2312" w:cs="仿宋_GB2312"/>
          <w:color w:val="auto"/>
          <w:sz w:val="32"/>
          <w:szCs w:val="32"/>
          <w:u w:val="none"/>
        </w:rPr>
        <w:tab/>
      </w:r>
      <w:r>
        <w:rPr>
          <w:rStyle w:val="18"/>
          <w:rFonts w:hint="eastAsia" w:ascii="Times New Roman" w:hAnsi="Times New Roman" w:eastAsia="仿宋_GB2312" w:cs="仿宋_GB2312"/>
          <w:color w:val="auto"/>
          <w:sz w:val="32"/>
          <w:szCs w:val="32"/>
          <w:u w:val="none"/>
        </w:rPr>
        <w:t>5</w:t>
      </w:r>
      <w:r>
        <w:rPr>
          <w:rStyle w:val="18"/>
          <w:rFonts w:hint="eastAsia" w:ascii="Times New Roman" w:hAnsi="Times New Roman" w:eastAsia="仿宋_GB2312" w:cs="仿宋_GB2312"/>
          <w:color w:val="auto"/>
          <w:sz w:val="32"/>
          <w:szCs w:val="32"/>
          <w:u w:val="none"/>
        </w:rPr>
        <w:fldChar w:fldCharType="end"/>
      </w:r>
    </w:p>
    <w:p w14:paraId="05323F04">
      <w:pPr>
        <w:pStyle w:val="12"/>
        <w:widowControl/>
        <w:tabs>
          <w:tab w:val="right" w:leader="dot" w:pos="8306"/>
        </w:tabs>
        <w:spacing w:line="440" w:lineRule="exact"/>
        <w:rPr>
          <w:rFonts w:ascii="Times New Roman" w:hAnsi="Times New Roman" w:eastAsia="仿宋_GB2312" w:cs="仿宋_GB2312"/>
          <w:sz w:val="32"/>
          <w:szCs w:val="32"/>
        </w:rPr>
      </w:pPr>
      <w:r>
        <w:fldChar w:fldCharType="begin"/>
      </w:r>
      <w:r>
        <w:instrText xml:space="preserve"> HYPERLINK "file://C:\\Users\\Administrator\\Desktop\\附件：2026年全国师生数字素养提升实践活动（第三十届教师活动）指南.docx" \l "_Toc4554 " </w:instrText>
      </w:r>
      <w:r>
        <w:fldChar w:fldCharType="separate"/>
      </w:r>
      <w:r>
        <w:rPr>
          <w:rStyle w:val="18"/>
          <w:rFonts w:hint="eastAsia" w:ascii="仿宋_GB2312" w:hAnsi="Times New Roman" w:eastAsia="仿宋_GB2312" w:cs="仿宋_GB2312"/>
          <w:bCs/>
          <w:color w:val="auto"/>
          <w:sz w:val="32"/>
          <w:szCs w:val="32"/>
          <w:u w:val="none"/>
        </w:rPr>
        <w:t>（一）论文提交</w:t>
      </w:r>
      <w:r>
        <w:rPr>
          <w:rStyle w:val="18"/>
          <w:rFonts w:hint="eastAsia" w:ascii="Times New Roman" w:hAnsi="Times New Roman" w:eastAsia="仿宋_GB2312" w:cs="仿宋_GB2312"/>
          <w:color w:val="auto"/>
          <w:sz w:val="32"/>
          <w:szCs w:val="32"/>
          <w:u w:val="none"/>
        </w:rPr>
        <w:tab/>
      </w:r>
      <w:r>
        <w:rPr>
          <w:rStyle w:val="18"/>
          <w:rFonts w:hint="eastAsia" w:ascii="Times New Roman" w:hAnsi="Times New Roman" w:eastAsia="仿宋_GB2312" w:cs="仿宋_GB2312"/>
          <w:color w:val="auto"/>
          <w:sz w:val="32"/>
          <w:szCs w:val="32"/>
          <w:u w:val="none"/>
        </w:rPr>
        <w:t>5</w:t>
      </w:r>
      <w:r>
        <w:rPr>
          <w:rStyle w:val="18"/>
          <w:rFonts w:hint="eastAsia" w:ascii="Times New Roman" w:hAnsi="Times New Roman" w:eastAsia="仿宋_GB2312" w:cs="仿宋_GB2312"/>
          <w:color w:val="auto"/>
          <w:sz w:val="32"/>
          <w:szCs w:val="32"/>
          <w:u w:val="none"/>
        </w:rPr>
        <w:fldChar w:fldCharType="end"/>
      </w:r>
    </w:p>
    <w:p w14:paraId="73A82E21">
      <w:pPr>
        <w:pStyle w:val="12"/>
        <w:widowControl/>
        <w:tabs>
          <w:tab w:val="right" w:leader="dot" w:pos="8306"/>
        </w:tabs>
        <w:spacing w:line="440" w:lineRule="exact"/>
      </w:pPr>
      <w:r>
        <w:fldChar w:fldCharType="begin"/>
      </w:r>
      <w:r>
        <w:instrText xml:space="preserve"> HYPERLINK "file://C:\\Users\\Administrator\\Desktop\\附件：2026年全国师生数字素养提升实践活动（第三十届教师活动）指南.docx" \l "_Toc4607 " </w:instrText>
      </w:r>
      <w:r>
        <w:fldChar w:fldCharType="separate"/>
      </w:r>
      <w:r>
        <w:rPr>
          <w:rStyle w:val="18"/>
          <w:rFonts w:hint="eastAsia" w:ascii="仿宋_GB2312" w:hAnsi="Times New Roman" w:eastAsia="仿宋_GB2312" w:cs="仿宋_GB2312"/>
          <w:bCs/>
          <w:color w:val="auto"/>
          <w:sz w:val="32"/>
          <w:szCs w:val="32"/>
          <w:u w:val="none"/>
        </w:rPr>
        <w:t>（二）省级推荐</w:t>
      </w:r>
      <w:r>
        <w:rPr>
          <w:rStyle w:val="18"/>
          <w:rFonts w:hint="eastAsia" w:ascii="Times New Roman" w:hAnsi="Times New Roman" w:eastAsia="仿宋_GB2312" w:cs="仿宋_GB2312"/>
          <w:color w:val="auto"/>
          <w:sz w:val="32"/>
          <w:szCs w:val="32"/>
          <w:u w:val="none"/>
        </w:rPr>
        <w:tab/>
      </w:r>
      <w:r>
        <w:rPr>
          <w:rStyle w:val="18"/>
          <w:rFonts w:hint="eastAsia" w:ascii="Times New Roman" w:hAnsi="Times New Roman" w:eastAsia="仿宋_GB2312" w:cs="仿宋_GB2312"/>
          <w:color w:val="auto"/>
          <w:sz w:val="32"/>
          <w:szCs w:val="32"/>
          <w:u w:val="none"/>
        </w:rPr>
        <w:t>5</w:t>
      </w:r>
      <w:r>
        <w:rPr>
          <w:rStyle w:val="18"/>
          <w:rFonts w:hint="eastAsia" w:ascii="Times New Roman" w:hAnsi="Times New Roman" w:eastAsia="仿宋_GB2312" w:cs="仿宋_GB2312"/>
          <w:color w:val="auto"/>
          <w:sz w:val="32"/>
          <w:szCs w:val="32"/>
          <w:u w:val="none"/>
        </w:rPr>
        <w:fldChar w:fldCharType="end"/>
      </w:r>
    </w:p>
    <w:p w14:paraId="15FE923D">
      <w:pPr>
        <w:pStyle w:val="12"/>
        <w:widowControl/>
        <w:tabs>
          <w:tab w:val="right" w:leader="dot" w:pos="8306"/>
        </w:tabs>
        <w:spacing w:line="440" w:lineRule="exact"/>
        <w:rPr>
          <w:rFonts w:ascii="Times New Roman" w:hAnsi="Times New Roman" w:eastAsia="仿宋_GB2312" w:cs="仿宋_GB2312"/>
          <w:sz w:val="32"/>
          <w:szCs w:val="32"/>
        </w:rPr>
      </w:pPr>
      <w:r>
        <w:fldChar w:fldCharType="begin"/>
      </w:r>
      <w:r>
        <w:instrText xml:space="preserve"> HYPERLINK "file://C:\\Users\\Administrator\\Desktop\\附件：2026年全国师生数字素养提升实践活动（第三十届教师活动）指南.docx" \l "_Toc4554 " </w:instrText>
      </w:r>
      <w:r>
        <w:fldChar w:fldCharType="separate"/>
      </w:r>
      <w:r>
        <w:rPr>
          <w:rStyle w:val="18"/>
          <w:rFonts w:hint="eastAsia" w:ascii="仿宋_GB2312" w:hAnsi="Times New Roman" w:eastAsia="仿宋_GB2312" w:cs="仿宋_GB2312"/>
          <w:bCs/>
          <w:color w:val="auto"/>
          <w:sz w:val="32"/>
          <w:szCs w:val="32"/>
          <w:u w:val="none"/>
        </w:rPr>
        <w:t>（三）全国推荐</w:t>
      </w:r>
      <w:r>
        <w:rPr>
          <w:rStyle w:val="18"/>
          <w:rFonts w:hint="eastAsia" w:ascii="Times New Roman" w:hAnsi="Times New Roman" w:eastAsia="仿宋_GB2312" w:cs="仿宋_GB2312"/>
          <w:color w:val="auto"/>
          <w:sz w:val="32"/>
          <w:szCs w:val="32"/>
          <w:u w:val="none"/>
        </w:rPr>
        <w:tab/>
      </w:r>
      <w:r>
        <w:rPr>
          <w:rStyle w:val="18"/>
          <w:rFonts w:hint="eastAsia" w:ascii="Times New Roman" w:hAnsi="Times New Roman" w:eastAsia="仿宋_GB2312" w:cs="仿宋_GB2312"/>
          <w:color w:val="auto"/>
          <w:sz w:val="32"/>
          <w:szCs w:val="32"/>
          <w:u w:val="none"/>
        </w:rPr>
        <w:t>5</w:t>
      </w:r>
      <w:r>
        <w:rPr>
          <w:rStyle w:val="18"/>
          <w:rFonts w:hint="eastAsia" w:ascii="Times New Roman" w:hAnsi="Times New Roman" w:eastAsia="仿宋_GB2312" w:cs="仿宋_GB2312"/>
          <w:color w:val="auto"/>
          <w:sz w:val="32"/>
          <w:szCs w:val="32"/>
          <w:u w:val="none"/>
        </w:rPr>
        <w:fldChar w:fldCharType="end"/>
      </w:r>
    </w:p>
    <w:p w14:paraId="623CF783">
      <w:pPr>
        <w:pStyle w:val="12"/>
        <w:widowControl/>
        <w:tabs>
          <w:tab w:val="right" w:leader="dot" w:pos="8306"/>
        </w:tabs>
        <w:spacing w:line="440" w:lineRule="exact"/>
      </w:pPr>
      <w:r>
        <w:fldChar w:fldCharType="begin"/>
      </w:r>
      <w:r>
        <w:instrText xml:space="preserve"> HYPERLINK "file://C:\\Users\\Administrator\\Desktop\\附件：2026年全国师生数字素养提升实践活动（第三十届教师活动）指南.docx" \l "_Toc4554 " </w:instrText>
      </w:r>
      <w:r>
        <w:fldChar w:fldCharType="separate"/>
      </w:r>
      <w:r>
        <w:rPr>
          <w:rStyle w:val="18"/>
          <w:rFonts w:hint="eastAsia" w:ascii="仿宋_GB2312" w:hAnsi="Times New Roman" w:eastAsia="仿宋_GB2312" w:cs="仿宋_GB2312"/>
          <w:bCs/>
          <w:color w:val="auto"/>
          <w:sz w:val="32"/>
          <w:szCs w:val="32"/>
          <w:u w:val="none"/>
        </w:rPr>
        <w:t>（四）交流展示</w:t>
      </w:r>
      <w:r>
        <w:rPr>
          <w:rStyle w:val="18"/>
          <w:rFonts w:hint="eastAsia" w:ascii="Times New Roman" w:hAnsi="Times New Roman" w:eastAsia="仿宋_GB2312" w:cs="仿宋_GB2312"/>
          <w:color w:val="auto"/>
          <w:sz w:val="32"/>
          <w:szCs w:val="32"/>
          <w:u w:val="none"/>
        </w:rPr>
        <w:tab/>
      </w:r>
      <w:r>
        <w:rPr>
          <w:rStyle w:val="18"/>
          <w:rFonts w:hint="eastAsia" w:ascii="Times New Roman" w:hAnsi="Times New Roman" w:eastAsia="仿宋_GB2312" w:cs="仿宋_GB2312"/>
          <w:color w:val="auto"/>
          <w:sz w:val="32"/>
          <w:szCs w:val="32"/>
          <w:u w:val="none"/>
        </w:rPr>
        <w:t>6</w:t>
      </w:r>
      <w:r>
        <w:rPr>
          <w:rStyle w:val="18"/>
          <w:rFonts w:hint="eastAsia" w:ascii="Times New Roman" w:hAnsi="Times New Roman" w:eastAsia="仿宋_GB2312" w:cs="仿宋_GB2312"/>
          <w:color w:val="auto"/>
          <w:sz w:val="32"/>
          <w:szCs w:val="32"/>
          <w:u w:val="none"/>
        </w:rPr>
        <w:fldChar w:fldCharType="end"/>
      </w:r>
    </w:p>
    <w:p w14:paraId="57F0561F">
      <w:pPr>
        <w:pStyle w:val="10"/>
        <w:widowControl/>
        <w:tabs>
          <w:tab w:val="right" w:leader="dot" w:pos="8306"/>
        </w:tabs>
        <w:spacing w:line="440" w:lineRule="exact"/>
        <w:rPr>
          <w:rStyle w:val="18"/>
          <w:rFonts w:ascii="仿宋_GB2312" w:hAnsi="Times New Roman" w:eastAsia="仿宋_GB2312" w:cs="仿宋_GB2312"/>
          <w:color w:val="auto"/>
          <w:sz w:val="32"/>
          <w:szCs w:val="32"/>
          <w:u w:val="none"/>
        </w:rPr>
      </w:pPr>
      <w:r>
        <w:fldChar w:fldCharType="begin"/>
      </w:r>
      <w:r>
        <w:instrText xml:space="preserve"> HYPERLINK "file://C:\\Users\\Administrator\\Desktop\\附件：2026年全国师生数字素养提升实践活动（第三十届教师活动）指南.docx" \l "_Toc9299 " </w:instrText>
      </w:r>
      <w:r>
        <w:fldChar w:fldCharType="separate"/>
      </w:r>
      <w:r>
        <w:rPr>
          <w:rStyle w:val="18"/>
          <w:rFonts w:hint="eastAsia" w:ascii="仿宋_GB2312" w:hAnsi="Times New Roman" w:eastAsia="仿宋_GB2312" w:cs="仿宋_GB2312"/>
          <w:b/>
          <w:bCs/>
          <w:color w:val="auto"/>
          <w:sz w:val="32"/>
          <w:szCs w:val="32"/>
          <w:u w:val="none"/>
        </w:rPr>
        <w:t>四、活动网址</w:t>
      </w:r>
      <w:r>
        <w:rPr>
          <w:rStyle w:val="18"/>
          <w:rFonts w:hint="eastAsia" w:ascii="仿宋_GB2312" w:hAnsi="Times New Roman" w:eastAsia="仿宋_GB2312" w:cs="仿宋_GB2312"/>
          <w:color w:val="auto"/>
          <w:sz w:val="32"/>
          <w:szCs w:val="32"/>
          <w:u w:val="none"/>
        </w:rPr>
        <w:tab/>
      </w:r>
      <w:r>
        <w:rPr>
          <w:rStyle w:val="18"/>
          <w:rFonts w:ascii="Times New Roman" w:hAnsi="Times New Roman" w:eastAsia="仿宋_GB2312"/>
          <w:color w:val="auto"/>
          <w:sz w:val="32"/>
          <w:szCs w:val="32"/>
          <w:u w:val="none"/>
        </w:rPr>
        <w:t>6</w:t>
      </w:r>
      <w:r>
        <w:rPr>
          <w:rStyle w:val="18"/>
          <w:rFonts w:ascii="Times New Roman" w:hAnsi="Times New Roman" w:eastAsia="仿宋_GB2312"/>
          <w:color w:val="auto"/>
          <w:sz w:val="32"/>
          <w:szCs w:val="32"/>
          <w:u w:val="none"/>
        </w:rPr>
        <w:fldChar w:fldCharType="end"/>
      </w:r>
    </w:p>
    <w:p w14:paraId="3A24D4EE">
      <w:pPr>
        <w:pStyle w:val="10"/>
        <w:widowControl/>
        <w:tabs>
          <w:tab w:val="right" w:leader="dot" w:pos="8306"/>
        </w:tabs>
        <w:spacing w:line="440" w:lineRule="exact"/>
        <w:rPr>
          <w:rFonts w:ascii="Times New Roman" w:hAnsi="Times New Roman" w:eastAsia="仿宋_GB2312" w:cs="仿宋_GB2312"/>
          <w:sz w:val="32"/>
          <w:szCs w:val="32"/>
        </w:rPr>
      </w:pPr>
      <w:r>
        <w:fldChar w:fldCharType="begin"/>
      </w:r>
      <w:r>
        <w:instrText xml:space="preserve"> HYPERLINK "file://C:\\Users\\Administrator\\Desktop\\附件：2026年全国师生数字素养提升实践活动（第三十届教师活动）指南.docx" \l "_Toc13991 " </w:instrText>
      </w:r>
      <w:r>
        <w:fldChar w:fldCharType="separate"/>
      </w:r>
      <w:r>
        <w:rPr>
          <w:rStyle w:val="18"/>
          <w:rFonts w:hint="eastAsia" w:ascii="仿宋_GB2312" w:hAnsi="Times New Roman" w:eastAsia="仿宋_GB2312" w:cs="仿宋_GB2312"/>
          <w:b/>
          <w:bCs/>
          <w:color w:val="auto"/>
          <w:sz w:val="32"/>
          <w:szCs w:val="32"/>
          <w:u w:val="none"/>
        </w:rPr>
        <w:t>五、活动组织</w:t>
      </w:r>
      <w:r>
        <w:rPr>
          <w:rStyle w:val="18"/>
          <w:rFonts w:hint="eastAsia" w:ascii="仿宋_GB2312" w:hAnsi="Times New Roman" w:eastAsia="仿宋_GB2312" w:cs="仿宋_GB2312"/>
          <w:color w:val="auto"/>
          <w:sz w:val="32"/>
          <w:szCs w:val="32"/>
          <w:u w:val="none"/>
        </w:rPr>
        <w:tab/>
      </w:r>
      <w:r>
        <w:rPr>
          <w:rStyle w:val="18"/>
          <w:rFonts w:ascii="Times New Roman" w:hAnsi="Times New Roman" w:eastAsia="仿宋_GB2312"/>
          <w:color w:val="auto"/>
          <w:sz w:val="32"/>
          <w:szCs w:val="32"/>
          <w:u w:val="none"/>
        </w:rPr>
        <w:t>6</w:t>
      </w:r>
      <w:r>
        <w:rPr>
          <w:rStyle w:val="18"/>
          <w:rFonts w:ascii="Times New Roman" w:hAnsi="Times New Roman" w:eastAsia="仿宋_GB2312"/>
          <w:color w:val="auto"/>
          <w:sz w:val="32"/>
          <w:szCs w:val="32"/>
          <w:u w:val="none"/>
        </w:rPr>
        <w:fldChar w:fldCharType="end"/>
      </w:r>
    </w:p>
    <w:p w14:paraId="320976FE">
      <w:pPr>
        <w:pStyle w:val="12"/>
        <w:widowControl/>
        <w:tabs>
          <w:tab w:val="right" w:leader="dot" w:pos="8306"/>
        </w:tabs>
        <w:spacing w:line="440" w:lineRule="exact"/>
        <w:rPr>
          <w:rFonts w:ascii="Times New Roman" w:hAnsi="Times New Roman" w:eastAsia="仿宋_GB2312" w:cs="仿宋_GB2312"/>
          <w:sz w:val="32"/>
          <w:szCs w:val="32"/>
        </w:rPr>
      </w:pPr>
    </w:p>
    <w:p w14:paraId="3026C185">
      <w:pPr>
        <w:pStyle w:val="10"/>
        <w:widowControl/>
        <w:tabs>
          <w:tab w:val="right" w:leader="dot" w:pos="8306"/>
        </w:tabs>
        <w:spacing w:line="440" w:lineRule="exact"/>
      </w:pPr>
    </w:p>
    <w:p w14:paraId="59DADD96">
      <w:pPr>
        <w:pStyle w:val="10"/>
        <w:widowControl/>
        <w:tabs>
          <w:tab w:val="right" w:leader="dot" w:pos="8306"/>
        </w:tabs>
        <w:spacing w:line="440" w:lineRule="exact"/>
      </w:pPr>
      <w:r>
        <w:fldChar w:fldCharType="begin"/>
      </w:r>
      <w:r>
        <w:instrText xml:space="preserve"> HYPERLINK "file://C:\\Users\\Administrator\\Desktop\\附件：2026年全国师生数字素养提升实践活动（第三十届教师活动）指南.docx" \l "_Toc29452 " </w:instrText>
      </w:r>
      <w:r>
        <w:fldChar w:fldCharType="separate"/>
      </w:r>
      <w:r>
        <w:rPr>
          <w:rStyle w:val="18"/>
          <w:rFonts w:hint="eastAsia" w:ascii="仿宋_GB2312" w:hAnsi="Times New Roman" w:eastAsia="仿宋_GB2312" w:cs="仿宋_GB2312"/>
          <w:color w:val="auto"/>
          <w:sz w:val="32"/>
          <w:szCs w:val="32"/>
          <w:u w:val="none"/>
        </w:rPr>
        <w:t>附4</w:t>
      </w:r>
      <w:r>
        <w:rPr>
          <w:rStyle w:val="18"/>
          <w:rFonts w:ascii="Times New Roman" w:hAnsi="Times New Roman" w:eastAsia="仿宋_GB2312"/>
          <w:color w:val="auto"/>
          <w:sz w:val="32"/>
          <w:szCs w:val="32"/>
          <w:u w:val="none"/>
        </w:rPr>
        <w:t>.1</w:t>
      </w:r>
      <w:r>
        <w:rPr>
          <w:rStyle w:val="18"/>
          <w:rFonts w:hint="eastAsia" w:ascii="仿宋_GB2312" w:hAnsi="Times New Roman" w:eastAsia="仿宋_GB2312" w:cs="仿宋_GB2312"/>
          <w:color w:val="auto"/>
          <w:sz w:val="32"/>
          <w:szCs w:val="32"/>
          <w:u w:val="none"/>
        </w:rPr>
        <w:t>：论文格式模板</w:t>
      </w:r>
      <w:r>
        <w:rPr>
          <w:rStyle w:val="18"/>
          <w:rFonts w:hint="eastAsia" w:ascii="Times New Roman" w:hAnsi="Times New Roman" w:eastAsia="仿宋_GB2312" w:cs="仿宋_GB2312"/>
          <w:color w:val="auto"/>
          <w:sz w:val="32"/>
          <w:szCs w:val="32"/>
          <w:u w:val="none"/>
        </w:rPr>
        <w:tab/>
      </w:r>
      <w:r>
        <w:rPr>
          <w:rStyle w:val="18"/>
          <w:rFonts w:hint="eastAsia" w:ascii="Times New Roman" w:hAnsi="Times New Roman" w:eastAsia="仿宋_GB2312" w:cs="仿宋_GB2312"/>
          <w:color w:val="auto"/>
          <w:sz w:val="32"/>
          <w:szCs w:val="32"/>
          <w:u w:val="none"/>
        </w:rPr>
        <w:t>8</w:t>
      </w:r>
      <w:r>
        <w:rPr>
          <w:rStyle w:val="18"/>
          <w:rFonts w:hint="eastAsia" w:ascii="Times New Roman" w:hAnsi="Times New Roman" w:eastAsia="仿宋_GB2312" w:cs="仿宋_GB2312"/>
          <w:color w:val="auto"/>
          <w:sz w:val="32"/>
          <w:szCs w:val="32"/>
          <w:u w:val="none"/>
        </w:rPr>
        <w:fldChar w:fldCharType="end"/>
      </w:r>
    </w:p>
    <w:p w14:paraId="3C73AE44">
      <w:pPr>
        <w:pStyle w:val="10"/>
        <w:widowControl/>
        <w:tabs>
          <w:tab w:val="right" w:leader="dot" w:pos="8306"/>
        </w:tabs>
        <w:spacing w:line="440" w:lineRule="exact"/>
      </w:pPr>
      <w:r>
        <w:fldChar w:fldCharType="begin"/>
      </w:r>
      <w:r>
        <w:instrText xml:space="preserve"> HYPERLINK "file://C:\\Users\\Administrator\\Desktop\\附件：2026年全国师生数字素养提升实践活动（第三十届教师活动）指南.docx" \l "_Toc29452 " </w:instrText>
      </w:r>
      <w:r>
        <w:fldChar w:fldCharType="separate"/>
      </w:r>
      <w:r>
        <w:rPr>
          <w:rStyle w:val="18"/>
          <w:rFonts w:hint="eastAsia" w:ascii="仿宋_GB2312" w:hAnsi="Times New Roman" w:eastAsia="仿宋_GB2312" w:cs="仿宋_GB2312"/>
          <w:color w:val="auto"/>
          <w:sz w:val="32"/>
          <w:szCs w:val="32"/>
          <w:u w:val="none"/>
        </w:rPr>
        <w:t>附4</w:t>
      </w:r>
      <w:r>
        <w:rPr>
          <w:rStyle w:val="18"/>
          <w:rFonts w:ascii="Times New Roman" w:hAnsi="Times New Roman" w:eastAsia="仿宋_GB2312"/>
          <w:color w:val="auto"/>
          <w:sz w:val="32"/>
          <w:szCs w:val="32"/>
          <w:u w:val="none"/>
        </w:rPr>
        <w:t>.</w:t>
      </w:r>
      <w:r>
        <w:rPr>
          <w:rStyle w:val="18"/>
          <w:rFonts w:hint="eastAsia" w:ascii="Times New Roman" w:hAnsi="Times New Roman" w:eastAsia="仿宋_GB2312"/>
          <w:color w:val="auto"/>
          <w:sz w:val="32"/>
          <w:szCs w:val="32"/>
          <w:u w:val="none"/>
        </w:rPr>
        <w:t>2</w:t>
      </w:r>
      <w:r>
        <w:rPr>
          <w:rStyle w:val="18"/>
          <w:rFonts w:hint="eastAsia" w:ascii="仿宋_GB2312" w:hAnsi="Times New Roman" w:eastAsia="仿宋_GB2312" w:cs="仿宋_GB2312"/>
          <w:color w:val="auto"/>
          <w:sz w:val="32"/>
          <w:szCs w:val="32"/>
          <w:u w:val="none"/>
        </w:rPr>
        <w:t>：论文推荐标准</w:t>
      </w:r>
      <w:r>
        <w:rPr>
          <w:rStyle w:val="18"/>
          <w:rFonts w:hint="eastAsia" w:ascii="Times New Roman" w:hAnsi="Times New Roman" w:eastAsia="仿宋_GB2312" w:cs="仿宋_GB2312"/>
          <w:color w:val="auto"/>
          <w:sz w:val="32"/>
          <w:szCs w:val="32"/>
          <w:u w:val="none"/>
        </w:rPr>
        <w:tab/>
      </w:r>
      <w:r>
        <w:rPr>
          <w:rStyle w:val="18"/>
          <w:rFonts w:hint="eastAsia" w:ascii="Times New Roman" w:hAnsi="Times New Roman" w:eastAsia="仿宋_GB2312" w:cs="仿宋_GB2312"/>
          <w:color w:val="auto"/>
          <w:sz w:val="32"/>
          <w:szCs w:val="32"/>
          <w:u w:val="none"/>
        </w:rPr>
        <w:t>1</w:t>
      </w:r>
      <w:r>
        <w:rPr>
          <w:rStyle w:val="18"/>
          <w:rFonts w:hint="eastAsia" w:ascii="Times New Roman" w:hAnsi="Times New Roman" w:eastAsia="仿宋_GB2312" w:cs="仿宋_GB2312"/>
          <w:color w:val="auto"/>
          <w:sz w:val="32"/>
          <w:szCs w:val="32"/>
          <w:u w:val="none"/>
        </w:rPr>
        <w:fldChar w:fldCharType="end"/>
      </w:r>
      <w:r>
        <w:rPr>
          <w:rFonts w:ascii="Times New Roman" w:hAnsi="Times New Roman"/>
          <w:sz w:val="32"/>
          <w:szCs w:val="32"/>
        </w:rPr>
        <w:t>2</w:t>
      </w:r>
    </w:p>
    <w:p w14:paraId="0D5750E8">
      <w:pPr>
        <w:ind w:firstLine="640" w:firstLineChars="200"/>
        <w:outlineLvl w:val="0"/>
        <w:rPr>
          <w:rFonts w:hint="eastAsia" w:ascii="黑体" w:hAnsi="宋体" w:eastAsia="黑体" w:cs="黑体"/>
          <w:sz w:val="32"/>
          <w:szCs w:val="32"/>
          <w:lang w:bidi="ar"/>
        </w:rPr>
      </w:pPr>
      <w:bookmarkStart w:id="5" w:name="_GoBack"/>
      <w:bookmarkEnd w:id="5"/>
    </w:p>
    <w:p w14:paraId="69C78415">
      <w:pPr>
        <w:ind w:firstLine="640" w:firstLineChars="200"/>
        <w:outlineLvl w:val="0"/>
        <w:rPr>
          <w:rFonts w:hint="eastAsia" w:ascii="黑体" w:hAnsi="宋体" w:eastAsia="黑体" w:cs="黑体"/>
          <w:sz w:val="32"/>
          <w:szCs w:val="32"/>
          <w:lang w:bidi="ar"/>
        </w:rPr>
      </w:pPr>
    </w:p>
    <w:p w14:paraId="2623157D">
      <w:pPr>
        <w:ind w:firstLine="640" w:firstLineChars="200"/>
        <w:outlineLvl w:val="0"/>
        <w:rPr>
          <w:rFonts w:hint="eastAsia" w:ascii="黑体" w:hAnsi="宋体" w:eastAsia="黑体" w:cs="黑体"/>
          <w:sz w:val="32"/>
          <w:szCs w:val="32"/>
          <w:lang w:bidi="ar"/>
        </w:rPr>
      </w:pPr>
    </w:p>
    <w:p w14:paraId="2AFC198E">
      <w:pPr>
        <w:ind w:firstLine="640" w:firstLineChars="200"/>
        <w:outlineLvl w:val="0"/>
        <w:rPr>
          <w:rFonts w:hint="eastAsia" w:ascii="黑体" w:hAnsi="宋体" w:eastAsia="黑体" w:cs="黑体"/>
          <w:sz w:val="32"/>
          <w:szCs w:val="32"/>
          <w:lang w:bidi="ar"/>
        </w:rPr>
      </w:pPr>
    </w:p>
    <w:p w14:paraId="246D1875">
      <w:pPr>
        <w:ind w:firstLine="640" w:firstLineChars="200"/>
        <w:outlineLvl w:val="0"/>
        <w:rPr>
          <w:rFonts w:hint="eastAsia" w:ascii="黑体" w:hAnsi="宋体" w:eastAsia="黑体" w:cs="黑体"/>
          <w:sz w:val="32"/>
          <w:szCs w:val="32"/>
          <w:lang w:bidi="ar"/>
        </w:rPr>
      </w:pPr>
    </w:p>
    <w:p w14:paraId="084FF901">
      <w:pPr>
        <w:ind w:firstLine="640" w:firstLineChars="200"/>
        <w:outlineLvl w:val="0"/>
        <w:rPr>
          <w:rFonts w:hint="eastAsia" w:ascii="黑体" w:hAnsi="宋体" w:eastAsia="黑体" w:cs="黑体"/>
          <w:sz w:val="32"/>
          <w:szCs w:val="32"/>
          <w:lang w:bidi="ar"/>
        </w:rPr>
      </w:pPr>
    </w:p>
    <w:p w14:paraId="7F104D30">
      <w:pPr>
        <w:ind w:firstLine="640" w:firstLineChars="200"/>
        <w:outlineLvl w:val="0"/>
        <w:rPr>
          <w:rFonts w:hint="eastAsia" w:ascii="黑体" w:hAnsi="宋体" w:eastAsia="黑体" w:cs="黑体"/>
          <w:sz w:val="32"/>
          <w:szCs w:val="32"/>
          <w:lang w:bidi="ar"/>
        </w:rPr>
      </w:pPr>
    </w:p>
    <w:p w14:paraId="2F6E22A0">
      <w:pPr>
        <w:outlineLvl w:val="0"/>
        <w:rPr>
          <w:rFonts w:hint="eastAsia" w:ascii="黑体" w:hAnsi="宋体" w:eastAsia="黑体" w:cs="黑体"/>
          <w:sz w:val="32"/>
          <w:szCs w:val="32"/>
          <w:lang w:bidi="ar"/>
        </w:rPr>
        <w:sectPr>
          <w:footerReference r:id="rId5" w:type="default"/>
          <w:pgSz w:w="11907" w:h="16840"/>
          <w:pgMar w:top="1440" w:right="1803" w:bottom="1440" w:left="1803" w:header="851" w:footer="992" w:gutter="0"/>
          <w:pgNumType w:fmt="numberInDash" w:start="2"/>
          <w:cols w:space="720" w:num="1"/>
          <w:docGrid w:type="lines" w:linePitch="312" w:charSpace="0"/>
        </w:sectPr>
      </w:pPr>
    </w:p>
    <w:p w14:paraId="2F331517">
      <w:pPr>
        <w:ind w:firstLine="640" w:firstLineChars="200"/>
        <w:outlineLvl w:val="0"/>
        <w:rPr>
          <w:rFonts w:hint="eastAsia" w:ascii="黑体" w:hAnsi="宋体" w:eastAsia="黑体" w:cs="黑体"/>
          <w:sz w:val="32"/>
          <w:szCs w:val="32"/>
          <w:lang w:bidi="ar"/>
        </w:rPr>
      </w:pPr>
      <w:r>
        <w:rPr>
          <w:rFonts w:hint="eastAsia" w:ascii="黑体" w:hAnsi="宋体" w:eastAsia="黑体" w:cs="黑体"/>
          <w:sz w:val="32"/>
          <w:szCs w:val="32"/>
          <w:lang w:bidi="ar"/>
        </w:rPr>
        <w:t>一、人员范围</w:t>
      </w:r>
    </w:p>
    <w:p w14:paraId="55BCD956">
      <w:pPr>
        <w:spacing w:line="520" w:lineRule="exact"/>
        <w:ind w:firstLine="640" w:firstLineChars="200"/>
        <w:rPr>
          <w:rFonts w:ascii="仿宋_GB2312" w:hAnsi="Calibri" w:eastAsia="仿宋_GB2312" w:cs="仿宋_GB2312"/>
          <w:sz w:val="32"/>
          <w:szCs w:val="32"/>
          <w:lang w:bidi="ar"/>
        </w:rPr>
      </w:pPr>
      <w:r>
        <w:rPr>
          <w:rFonts w:hint="eastAsia" w:ascii="仿宋_GB2312" w:hAnsi="Calibri" w:eastAsia="仿宋_GB2312" w:cs="仿宋_GB2312"/>
          <w:sz w:val="32"/>
          <w:szCs w:val="32"/>
          <w:lang w:bidi="ar"/>
        </w:rPr>
        <w:t>全国各级各类学校教师群体以及各级技术、资源、电教、装备等教育工作者。</w:t>
      </w:r>
    </w:p>
    <w:p w14:paraId="48EAAB1B">
      <w:pPr>
        <w:ind w:firstLine="640" w:firstLineChars="200"/>
        <w:outlineLvl w:val="0"/>
        <w:rPr>
          <w:rFonts w:hint="eastAsia" w:ascii="黑体" w:hAnsi="宋体" w:eastAsia="黑体" w:cs="黑体"/>
          <w:sz w:val="32"/>
          <w:szCs w:val="32"/>
          <w:lang w:bidi="ar"/>
        </w:rPr>
      </w:pPr>
      <w:r>
        <w:rPr>
          <w:rFonts w:hint="eastAsia" w:ascii="黑体" w:hAnsi="宋体" w:eastAsia="黑体" w:cs="黑体"/>
          <w:sz w:val="32"/>
          <w:szCs w:val="32"/>
          <w:lang w:bidi="ar"/>
        </w:rPr>
        <w:t>二、活动要求</w:t>
      </w:r>
    </w:p>
    <w:p w14:paraId="6DB3161A">
      <w:pPr>
        <w:spacing w:line="520" w:lineRule="exact"/>
        <w:ind w:firstLine="540"/>
        <w:outlineLvl w:val="1"/>
        <w:rPr>
          <w:rFonts w:ascii="楷体_GB2312" w:eastAsia="楷体_GB2312" w:cs="楷体_GB2312"/>
          <w:b/>
          <w:bCs/>
          <w:sz w:val="32"/>
          <w:szCs w:val="32"/>
          <w:lang w:bidi="ar"/>
        </w:rPr>
      </w:pPr>
      <w:r>
        <w:rPr>
          <w:rFonts w:hint="eastAsia" w:ascii="楷体_GB2312" w:eastAsia="楷体_GB2312" w:cs="楷体_GB2312"/>
          <w:b/>
          <w:bCs/>
          <w:sz w:val="32"/>
          <w:szCs w:val="32"/>
          <w:lang w:bidi="ar"/>
        </w:rPr>
        <w:t>(一)活动主题：智能时代的教育发展与治理</w:t>
      </w:r>
    </w:p>
    <w:p w14:paraId="0A63E7D9">
      <w:pPr>
        <w:spacing w:line="520" w:lineRule="exact"/>
        <w:ind w:firstLine="640" w:firstLineChars="200"/>
        <w:rPr>
          <w:rFonts w:ascii="仿宋_GB2312" w:hAnsi="Calibri" w:eastAsia="仿宋_GB2312" w:cs="仿宋_GB2312"/>
          <w:sz w:val="32"/>
          <w:szCs w:val="32"/>
          <w:lang w:bidi="ar"/>
        </w:rPr>
      </w:pPr>
      <w:r>
        <w:rPr>
          <w:rFonts w:hint="eastAsia" w:ascii="仿宋_GB2312" w:hAnsi="Calibri" w:eastAsia="仿宋_GB2312" w:cs="仿宋_GB2312"/>
          <w:sz w:val="32"/>
          <w:szCs w:val="32"/>
          <w:lang w:bidi="ar"/>
        </w:rPr>
        <w:t>以习近平新时代中国特色社会主义思想为指导，深入贯彻落实党中央关于教育数字化和人工智能的战略部署，围绕加快建设教育强国、推进教育数字化战略行动、办好人民满意的教育，服务中国式教育现代化发展。具体选题如下：</w:t>
      </w:r>
    </w:p>
    <w:p w14:paraId="35C221CF">
      <w:pPr>
        <w:spacing w:line="520" w:lineRule="exact"/>
        <w:ind w:firstLine="640" w:firstLineChars="200"/>
        <w:rPr>
          <w:rFonts w:ascii="仿宋_GB2312" w:hAnsi="Calibri" w:eastAsia="仿宋_GB2312" w:cs="仿宋_GB2312"/>
          <w:sz w:val="32"/>
          <w:szCs w:val="32"/>
          <w:lang w:bidi="ar"/>
        </w:rPr>
      </w:pPr>
      <w:r>
        <w:rPr>
          <w:rFonts w:eastAsia="仿宋_GB2312"/>
          <w:sz w:val="32"/>
          <w:szCs w:val="32"/>
          <w:lang w:bidi="ar"/>
        </w:rPr>
        <w:t>1.</w:t>
      </w:r>
      <w:r>
        <w:rPr>
          <w:rFonts w:hint="eastAsia" w:ascii="仿宋_GB2312" w:hAnsi="Calibri" w:eastAsia="仿宋_GB2312" w:cs="仿宋_GB2312"/>
          <w:sz w:val="32"/>
          <w:szCs w:val="32"/>
          <w:lang w:bidi="ar"/>
        </w:rPr>
        <w:t>国家智慧教育平台助力五育并举的实践研究；</w:t>
      </w:r>
    </w:p>
    <w:p w14:paraId="7397E1F4">
      <w:pPr>
        <w:spacing w:line="520" w:lineRule="exact"/>
        <w:ind w:firstLine="640" w:firstLineChars="200"/>
        <w:rPr>
          <w:rFonts w:ascii="仿宋_GB2312" w:hAnsi="Calibri" w:eastAsia="仿宋_GB2312" w:cs="仿宋_GB2312"/>
          <w:sz w:val="32"/>
          <w:szCs w:val="32"/>
          <w:lang w:bidi="ar"/>
        </w:rPr>
      </w:pPr>
      <w:r>
        <w:rPr>
          <w:rFonts w:hint="eastAsia" w:eastAsia="仿宋_GB2312"/>
          <w:sz w:val="32"/>
          <w:szCs w:val="32"/>
          <w:lang w:bidi="ar"/>
        </w:rPr>
        <w:t>2.</w:t>
      </w:r>
      <w:r>
        <w:rPr>
          <w:rFonts w:hint="eastAsia" w:ascii="仿宋_GB2312" w:hAnsi="Calibri" w:eastAsia="仿宋_GB2312" w:cs="仿宋_GB2312"/>
          <w:sz w:val="32"/>
          <w:szCs w:val="32"/>
          <w:lang w:bidi="ar"/>
        </w:rPr>
        <w:t>数字教育资源助力中小学课后服务开展研究；</w:t>
      </w:r>
    </w:p>
    <w:p w14:paraId="24C45317">
      <w:pPr>
        <w:spacing w:line="520" w:lineRule="exact"/>
        <w:ind w:firstLine="640" w:firstLineChars="200"/>
        <w:rPr>
          <w:rFonts w:ascii="仿宋_GB2312" w:hAnsi="Calibri" w:eastAsia="仿宋_GB2312" w:cs="仿宋_GB2312"/>
          <w:sz w:val="32"/>
          <w:szCs w:val="32"/>
          <w:lang w:bidi="ar"/>
        </w:rPr>
      </w:pPr>
      <w:r>
        <w:rPr>
          <w:rFonts w:hint="eastAsia" w:eastAsia="仿宋_GB2312"/>
          <w:sz w:val="32"/>
          <w:szCs w:val="32"/>
          <w:lang w:bidi="ar"/>
        </w:rPr>
        <w:t>3.</w:t>
      </w:r>
      <w:r>
        <w:rPr>
          <w:rFonts w:hint="eastAsia" w:ascii="仿宋_GB2312" w:hAnsi="Calibri" w:eastAsia="仿宋_GB2312" w:cs="仿宋_GB2312"/>
          <w:sz w:val="32"/>
          <w:szCs w:val="32"/>
          <w:lang w:bidi="ar"/>
        </w:rPr>
        <w:t>基于跨学科主题学习的教学实践研究；</w:t>
      </w:r>
    </w:p>
    <w:p w14:paraId="1AB4602A">
      <w:pPr>
        <w:spacing w:line="520" w:lineRule="exact"/>
        <w:ind w:firstLine="640" w:firstLineChars="200"/>
        <w:rPr>
          <w:rFonts w:ascii="仿宋_GB2312" w:hAnsi="Calibri" w:eastAsia="仿宋_GB2312" w:cs="仿宋_GB2312"/>
          <w:sz w:val="32"/>
          <w:szCs w:val="32"/>
          <w:lang w:bidi="ar"/>
        </w:rPr>
      </w:pPr>
      <w:r>
        <w:rPr>
          <w:rFonts w:hint="eastAsia" w:eastAsia="仿宋_GB2312"/>
          <w:sz w:val="32"/>
          <w:szCs w:val="32"/>
          <w:lang w:bidi="ar"/>
        </w:rPr>
        <w:t>4.</w:t>
      </w:r>
      <w:r>
        <w:rPr>
          <w:rFonts w:hint="eastAsia" w:ascii="仿宋_GB2312" w:hAnsi="Calibri" w:eastAsia="仿宋_GB2312" w:cs="仿宋_GB2312"/>
          <w:sz w:val="32"/>
          <w:szCs w:val="32"/>
          <w:lang w:bidi="ar"/>
        </w:rPr>
        <w:t>科学教育课堂教学模式研究；</w:t>
      </w:r>
    </w:p>
    <w:p w14:paraId="14D9F7B0">
      <w:pPr>
        <w:spacing w:line="520" w:lineRule="exact"/>
        <w:ind w:firstLine="640" w:firstLineChars="200"/>
        <w:rPr>
          <w:rFonts w:ascii="仿宋_GB2312" w:hAnsi="Calibri" w:eastAsia="仿宋_GB2312" w:cs="仿宋_GB2312"/>
          <w:sz w:val="32"/>
          <w:szCs w:val="32"/>
          <w:lang w:bidi="ar"/>
        </w:rPr>
      </w:pPr>
      <w:r>
        <w:rPr>
          <w:rFonts w:hint="eastAsia" w:eastAsia="仿宋_GB2312"/>
          <w:sz w:val="32"/>
          <w:szCs w:val="32"/>
          <w:lang w:bidi="ar"/>
        </w:rPr>
        <w:t>5.</w:t>
      </w:r>
      <w:r>
        <w:rPr>
          <w:rFonts w:hint="eastAsia" w:ascii="仿宋_GB2312" w:hAnsi="Calibri" w:eastAsia="仿宋_GB2312" w:cs="仿宋_GB2312"/>
          <w:sz w:val="32"/>
          <w:szCs w:val="32"/>
          <w:lang w:bidi="ar"/>
        </w:rPr>
        <w:t>实验教学创新研究；</w:t>
      </w:r>
    </w:p>
    <w:p w14:paraId="08FFD8E8">
      <w:pPr>
        <w:spacing w:line="520" w:lineRule="exact"/>
        <w:ind w:firstLine="640" w:firstLineChars="200"/>
        <w:rPr>
          <w:rFonts w:ascii="仿宋_GB2312" w:hAnsi="Calibri" w:eastAsia="仿宋_GB2312" w:cs="仿宋_GB2312"/>
          <w:sz w:val="32"/>
          <w:szCs w:val="32"/>
          <w:lang w:bidi="ar"/>
        </w:rPr>
      </w:pPr>
      <w:r>
        <w:rPr>
          <w:rFonts w:hint="eastAsia" w:eastAsia="仿宋_GB2312"/>
          <w:sz w:val="32"/>
          <w:szCs w:val="32"/>
          <w:lang w:bidi="ar"/>
        </w:rPr>
        <w:t>6.</w:t>
      </w:r>
      <w:r>
        <w:rPr>
          <w:rFonts w:eastAsia="仿宋_GB2312"/>
          <w:sz w:val="32"/>
          <w:szCs w:val="32"/>
          <w:lang w:bidi="ar"/>
        </w:rPr>
        <w:t>STEAM</w:t>
      </w:r>
      <w:r>
        <w:rPr>
          <w:rFonts w:hint="eastAsia" w:ascii="仿宋_GB2312" w:hAnsi="Calibri" w:eastAsia="仿宋_GB2312" w:cs="仿宋_GB2312"/>
          <w:sz w:val="32"/>
          <w:szCs w:val="32"/>
          <w:lang w:bidi="ar"/>
        </w:rPr>
        <w:t>教育教学研究；</w:t>
      </w:r>
    </w:p>
    <w:p w14:paraId="5A30F813">
      <w:pPr>
        <w:spacing w:line="520" w:lineRule="exact"/>
        <w:ind w:firstLine="640" w:firstLineChars="200"/>
        <w:rPr>
          <w:rFonts w:ascii="仿宋_GB2312" w:hAnsi="Calibri" w:eastAsia="仿宋_GB2312" w:cs="仿宋_GB2312"/>
          <w:sz w:val="32"/>
          <w:szCs w:val="32"/>
          <w:lang w:bidi="ar"/>
        </w:rPr>
      </w:pPr>
      <w:r>
        <w:rPr>
          <w:rFonts w:hint="eastAsia" w:eastAsia="仿宋_GB2312"/>
          <w:sz w:val="32"/>
          <w:szCs w:val="32"/>
          <w:lang w:bidi="ar"/>
        </w:rPr>
        <w:t>7.</w:t>
      </w:r>
      <w:r>
        <w:rPr>
          <w:rFonts w:hint="eastAsia" w:ascii="仿宋_GB2312" w:hAnsi="Calibri" w:eastAsia="仿宋_GB2312" w:cs="仿宋_GB2312"/>
          <w:sz w:val="32"/>
          <w:szCs w:val="32"/>
          <w:lang w:bidi="ar"/>
        </w:rPr>
        <w:t>教学评一致性策略构建研究；</w:t>
      </w:r>
    </w:p>
    <w:p w14:paraId="23A9C8CC">
      <w:pPr>
        <w:spacing w:line="520" w:lineRule="exact"/>
        <w:ind w:firstLine="640" w:firstLineChars="200"/>
        <w:rPr>
          <w:rFonts w:ascii="仿宋_GB2312" w:hAnsi="Calibri" w:eastAsia="仿宋_GB2312" w:cs="仿宋_GB2312"/>
          <w:sz w:val="32"/>
          <w:szCs w:val="32"/>
          <w:lang w:bidi="ar"/>
        </w:rPr>
      </w:pPr>
      <w:r>
        <w:rPr>
          <w:rFonts w:hint="eastAsia" w:eastAsia="仿宋_GB2312"/>
          <w:sz w:val="32"/>
          <w:szCs w:val="32"/>
          <w:lang w:bidi="ar"/>
        </w:rPr>
        <w:t>8.</w:t>
      </w:r>
      <w:r>
        <w:rPr>
          <w:rFonts w:hint="eastAsia" w:ascii="仿宋_GB2312" w:hAnsi="Calibri" w:eastAsia="仿宋_GB2312" w:cs="仿宋_GB2312"/>
          <w:sz w:val="32"/>
          <w:szCs w:val="32"/>
          <w:lang w:bidi="ar"/>
        </w:rPr>
        <w:t>国家平台赋能数字教育国际交流合作研究；</w:t>
      </w:r>
    </w:p>
    <w:p w14:paraId="4388F00F">
      <w:pPr>
        <w:spacing w:line="520" w:lineRule="exact"/>
        <w:ind w:firstLine="640" w:firstLineChars="200"/>
        <w:rPr>
          <w:rFonts w:ascii="仿宋_GB2312" w:hAnsi="Calibri" w:eastAsia="仿宋_GB2312" w:cs="仿宋_GB2312"/>
          <w:sz w:val="32"/>
          <w:szCs w:val="32"/>
          <w:lang w:bidi="ar"/>
        </w:rPr>
      </w:pPr>
      <w:r>
        <w:rPr>
          <w:rFonts w:hint="eastAsia" w:eastAsia="仿宋_GB2312"/>
          <w:sz w:val="32"/>
          <w:szCs w:val="32"/>
          <w:lang w:bidi="ar"/>
        </w:rPr>
        <w:t>9.</w:t>
      </w:r>
      <w:r>
        <w:rPr>
          <w:rFonts w:hint="eastAsia" w:ascii="仿宋_GB2312" w:hAnsi="Calibri" w:eastAsia="仿宋_GB2312" w:cs="仿宋_GB2312"/>
          <w:sz w:val="32"/>
          <w:szCs w:val="32"/>
          <w:lang w:bidi="ar"/>
        </w:rPr>
        <w:t>人工智能赋能教育治理研究；</w:t>
      </w:r>
    </w:p>
    <w:p w14:paraId="776E40E5">
      <w:pPr>
        <w:spacing w:line="520" w:lineRule="exact"/>
        <w:ind w:firstLine="640" w:firstLineChars="200"/>
        <w:rPr>
          <w:rFonts w:ascii="仿宋_GB2312" w:hAnsi="Calibri" w:eastAsia="仿宋_GB2312" w:cs="仿宋_GB2312"/>
          <w:sz w:val="32"/>
          <w:szCs w:val="32"/>
          <w:lang w:bidi="ar"/>
        </w:rPr>
      </w:pPr>
      <w:r>
        <w:rPr>
          <w:rFonts w:hint="eastAsia" w:eastAsia="仿宋_GB2312"/>
          <w:sz w:val="32"/>
          <w:szCs w:val="32"/>
          <w:lang w:bidi="ar"/>
        </w:rPr>
        <w:t>10.</w:t>
      </w:r>
      <w:r>
        <w:rPr>
          <w:rFonts w:hint="eastAsia" w:ascii="仿宋_GB2312" w:hAnsi="Calibri" w:eastAsia="仿宋_GB2312" w:cs="仿宋_GB2312"/>
          <w:sz w:val="32"/>
          <w:szCs w:val="32"/>
          <w:lang w:bidi="ar"/>
        </w:rPr>
        <w:t>中小学人工智能通识课程研究；</w:t>
      </w:r>
    </w:p>
    <w:p w14:paraId="5BBC7C0A">
      <w:pPr>
        <w:spacing w:line="520" w:lineRule="exact"/>
        <w:ind w:firstLine="640" w:firstLineChars="200"/>
        <w:rPr>
          <w:rFonts w:ascii="仿宋_GB2312" w:hAnsi="Calibri" w:eastAsia="仿宋_GB2312" w:cs="仿宋_GB2312"/>
          <w:sz w:val="32"/>
          <w:szCs w:val="32"/>
          <w:lang w:bidi="ar"/>
        </w:rPr>
      </w:pPr>
      <w:r>
        <w:rPr>
          <w:rFonts w:hint="eastAsia" w:eastAsia="仿宋_GB2312"/>
          <w:sz w:val="32"/>
          <w:szCs w:val="32"/>
          <w:lang w:bidi="ar"/>
        </w:rPr>
        <w:t>11.</w:t>
      </w:r>
      <w:r>
        <w:rPr>
          <w:rFonts w:hint="eastAsia" w:ascii="仿宋_GB2312" w:hAnsi="Calibri" w:eastAsia="仿宋_GB2312" w:cs="仿宋_GB2312"/>
          <w:sz w:val="32"/>
          <w:szCs w:val="32"/>
          <w:lang w:bidi="ar"/>
        </w:rPr>
        <w:t>人工智能赋能中小学科技教育的实施路径研究；</w:t>
      </w:r>
    </w:p>
    <w:p w14:paraId="68EF665E">
      <w:pPr>
        <w:spacing w:line="520" w:lineRule="exact"/>
        <w:ind w:firstLine="640" w:firstLineChars="200"/>
        <w:rPr>
          <w:rFonts w:ascii="仿宋_GB2312" w:hAnsi="Calibri" w:eastAsia="仿宋_GB2312" w:cs="仿宋_GB2312"/>
          <w:sz w:val="32"/>
          <w:szCs w:val="32"/>
          <w:lang w:bidi="ar"/>
        </w:rPr>
      </w:pPr>
      <w:r>
        <w:rPr>
          <w:rFonts w:hint="eastAsia" w:eastAsia="仿宋_GB2312"/>
          <w:sz w:val="32"/>
          <w:szCs w:val="32"/>
          <w:lang w:bidi="ar"/>
        </w:rPr>
        <w:t>12.</w:t>
      </w:r>
      <w:r>
        <w:rPr>
          <w:rFonts w:hint="eastAsia" w:ascii="仿宋_GB2312" w:hAnsi="Calibri" w:eastAsia="仿宋_GB2312" w:cs="仿宋_GB2312"/>
          <w:sz w:val="32"/>
          <w:szCs w:val="32"/>
          <w:lang w:bidi="ar"/>
        </w:rPr>
        <w:t>中小学生科技素养的培养策略与实践研究；</w:t>
      </w:r>
    </w:p>
    <w:p w14:paraId="43372314">
      <w:pPr>
        <w:spacing w:line="520" w:lineRule="exact"/>
        <w:ind w:firstLine="640" w:firstLineChars="200"/>
        <w:rPr>
          <w:rFonts w:ascii="仿宋_GB2312" w:hAnsi="Calibri" w:eastAsia="仿宋_GB2312" w:cs="仿宋_GB2312"/>
          <w:sz w:val="32"/>
          <w:szCs w:val="32"/>
          <w:lang w:bidi="ar"/>
        </w:rPr>
      </w:pPr>
      <w:r>
        <w:rPr>
          <w:rFonts w:hint="eastAsia" w:eastAsia="仿宋_GB2312"/>
          <w:sz w:val="32"/>
          <w:szCs w:val="32"/>
          <w:lang w:bidi="ar"/>
        </w:rPr>
        <w:t>13.</w:t>
      </w:r>
      <w:r>
        <w:rPr>
          <w:rFonts w:hint="eastAsia" w:ascii="仿宋_GB2312" w:hAnsi="Calibri" w:eastAsia="仿宋_GB2312" w:cs="仿宋_GB2312"/>
          <w:sz w:val="32"/>
          <w:szCs w:val="32"/>
          <w:lang w:bidi="ar"/>
        </w:rPr>
        <w:t>产教融合背景下职业学生智能素养培育与就业服务创新研究；</w:t>
      </w:r>
    </w:p>
    <w:p w14:paraId="35498491">
      <w:pPr>
        <w:spacing w:line="520" w:lineRule="exact"/>
        <w:ind w:firstLine="640" w:firstLineChars="200"/>
        <w:rPr>
          <w:rFonts w:ascii="仿宋_GB2312" w:hAnsi="Calibri" w:eastAsia="仿宋_GB2312" w:cs="仿宋_GB2312"/>
          <w:sz w:val="32"/>
          <w:szCs w:val="32"/>
          <w:lang w:bidi="ar"/>
        </w:rPr>
      </w:pPr>
      <w:r>
        <w:rPr>
          <w:rFonts w:hint="eastAsia" w:eastAsia="仿宋_GB2312"/>
          <w:sz w:val="32"/>
          <w:szCs w:val="32"/>
          <w:lang w:bidi="ar"/>
        </w:rPr>
        <w:t>14.</w:t>
      </w:r>
      <w:r>
        <w:rPr>
          <w:rFonts w:hint="eastAsia" w:ascii="仿宋_GB2312" w:hAnsi="Calibri" w:eastAsia="仿宋_GB2312" w:cs="仿宋_GB2312"/>
          <w:sz w:val="32"/>
          <w:szCs w:val="32"/>
          <w:lang w:bidi="ar"/>
        </w:rPr>
        <w:t>职业教育人工智能通识课程平台建设与应用研究；</w:t>
      </w:r>
    </w:p>
    <w:p w14:paraId="606F8165">
      <w:pPr>
        <w:spacing w:line="520" w:lineRule="exact"/>
        <w:ind w:firstLine="640" w:firstLineChars="200"/>
        <w:rPr>
          <w:rFonts w:ascii="仿宋_GB2312" w:hAnsi="Calibri" w:eastAsia="仿宋_GB2312" w:cs="仿宋_GB2312"/>
          <w:sz w:val="32"/>
          <w:szCs w:val="32"/>
          <w:lang w:bidi="ar"/>
        </w:rPr>
      </w:pPr>
      <w:r>
        <w:rPr>
          <w:rFonts w:hint="eastAsia" w:eastAsia="仿宋_GB2312"/>
          <w:sz w:val="32"/>
          <w:szCs w:val="32"/>
          <w:lang w:bidi="ar"/>
        </w:rPr>
        <w:t>15.</w:t>
      </w:r>
      <w:r>
        <w:rPr>
          <w:rFonts w:hint="eastAsia" w:ascii="仿宋_GB2312" w:hAnsi="Calibri" w:eastAsia="仿宋_GB2312" w:cs="仿宋_GB2312"/>
          <w:sz w:val="32"/>
          <w:szCs w:val="32"/>
          <w:lang w:bidi="ar"/>
        </w:rPr>
        <w:t>人工智能驱动外语职业技能培养与教学应用研究；</w:t>
      </w:r>
    </w:p>
    <w:p w14:paraId="30C3EDEA">
      <w:pPr>
        <w:spacing w:line="520" w:lineRule="exact"/>
        <w:ind w:firstLine="640" w:firstLineChars="200"/>
        <w:rPr>
          <w:rFonts w:ascii="仿宋_GB2312" w:hAnsi="Calibri" w:eastAsia="仿宋_GB2312" w:cs="仿宋_GB2312"/>
          <w:sz w:val="32"/>
          <w:szCs w:val="32"/>
          <w:lang w:bidi="ar"/>
        </w:rPr>
      </w:pPr>
      <w:r>
        <w:rPr>
          <w:rFonts w:hint="eastAsia" w:eastAsia="仿宋_GB2312"/>
          <w:sz w:val="32"/>
          <w:szCs w:val="32"/>
          <w:lang w:bidi="ar"/>
        </w:rPr>
        <w:t>16.</w:t>
      </w:r>
      <w:r>
        <w:rPr>
          <w:rFonts w:hint="eastAsia" w:ascii="仿宋_GB2312" w:hAnsi="Calibri" w:eastAsia="仿宋_GB2312" w:cs="仿宋_GB2312"/>
          <w:sz w:val="32"/>
          <w:szCs w:val="32"/>
          <w:lang w:bidi="ar"/>
        </w:rPr>
        <w:t>人工智能赋能本科外语教育创新与发展研究；</w:t>
      </w:r>
    </w:p>
    <w:p w14:paraId="678AE4E6">
      <w:pPr>
        <w:spacing w:line="520" w:lineRule="exact"/>
        <w:ind w:firstLine="640" w:firstLineChars="200"/>
        <w:rPr>
          <w:rFonts w:ascii="仿宋_GB2312" w:hAnsi="Calibri" w:eastAsia="仿宋_GB2312" w:cs="仿宋_GB2312"/>
          <w:sz w:val="32"/>
          <w:szCs w:val="32"/>
          <w:lang w:bidi="ar"/>
        </w:rPr>
      </w:pPr>
      <w:r>
        <w:rPr>
          <w:rFonts w:hint="eastAsia" w:eastAsia="仿宋_GB2312"/>
          <w:sz w:val="32"/>
          <w:szCs w:val="32"/>
          <w:lang w:bidi="ar"/>
        </w:rPr>
        <w:t>17.</w:t>
      </w:r>
      <w:r>
        <w:rPr>
          <w:rFonts w:hint="eastAsia" w:ascii="仿宋_GB2312" w:hAnsi="Calibri" w:eastAsia="仿宋_GB2312" w:cs="仿宋_GB2312"/>
          <w:sz w:val="32"/>
          <w:szCs w:val="32"/>
          <w:lang w:bidi="ar"/>
        </w:rPr>
        <w:t>中国移动“和教育”系列产品设计及其教育应用研究；</w:t>
      </w:r>
    </w:p>
    <w:p w14:paraId="567C42EA">
      <w:pPr>
        <w:spacing w:line="520" w:lineRule="exact"/>
        <w:ind w:firstLine="640" w:firstLineChars="200"/>
        <w:rPr>
          <w:rFonts w:ascii="仿宋_GB2312" w:hAnsi="Calibri" w:eastAsia="仿宋_GB2312" w:cs="仿宋_GB2312"/>
          <w:sz w:val="32"/>
          <w:szCs w:val="32"/>
          <w:lang w:bidi="ar"/>
        </w:rPr>
      </w:pPr>
      <w:r>
        <w:rPr>
          <w:rFonts w:hint="eastAsia" w:eastAsia="仿宋_GB2312"/>
          <w:sz w:val="32"/>
          <w:szCs w:val="32"/>
          <w:lang w:bidi="ar"/>
        </w:rPr>
        <w:t>18.</w:t>
      </w:r>
      <w:r>
        <w:rPr>
          <w:rFonts w:hint="eastAsia" w:ascii="仿宋_GB2312" w:hAnsi="Calibri" w:eastAsia="仿宋_GB2312" w:cs="仿宋_GB2312"/>
          <w:sz w:val="32"/>
          <w:szCs w:val="32"/>
          <w:lang w:bidi="ar"/>
        </w:rPr>
        <w:t>中国移动人工智能、</w:t>
      </w:r>
      <w:r>
        <w:rPr>
          <w:rFonts w:eastAsia="仿宋_GB2312"/>
          <w:sz w:val="32"/>
          <w:szCs w:val="32"/>
          <w:lang w:bidi="ar"/>
        </w:rPr>
        <w:t>5G</w:t>
      </w:r>
      <w:r>
        <w:rPr>
          <w:rFonts w:hint="eastAsia" w:ascii="仿宋_GB2312" w:hAnsi="Calibri" w:eastAsia="仿宋_GB2312" w:cs="仿宋_GB2312"/>
          <w:sz w:val="32"/>
          <w:szCs w:val="32"/>
          <w:lang w:bidi="ar"/>
        </w:rPr>
        <w:t>智慧教育系列产品（如智慧校园、电子学生证、智慧考场、智慧体育和智慧研训等）应用设计及实践。</w:t>
      </w:r>
    </w:p>
    <w:p w14:paraId="781FF268">
      <w:pPr>
        <w:spacing w:line="520" w:lineRule="exact"/>
        <w:ind w:firstLine="540"/>
        <w:outlineLvl w:val="1"/>
        <w:rPr>
          <w:rFonts w:ascii="楷体_GB2312" w:eastAsia="楷体_GB2312" w:cs="楷体_GB2312"/>
          <w:b/>
          <w:bCs/>
          <w:sz w:val="32"/>
          <w:szCs w:val="32"/>
          <w:lang w:bidi="ar"/>
        </w:rPr>
      </w:pPr>
      <w:r>
        <w:rPr>
          <w:rFonts w:hint="eastAsia" w:ascii="楷体_GB2312" w:eastAsia="楷体_GB2312" w:cs="楷体_GB2312"/>
          <w:b/>
          <w:bCs/>
          <w:sz w:val="32"/>
          <w:szCs w:val="32"/>
          <w:lang w:bidi="ar"/>
        </w:rPr>
        <w:t xml:space="preserve">（二）征文要求 </w:t>
      </w:r>
    </w:p>
    <w:p w14:paraId="7CA37318">
      <w:pPr>
        <w:spacing w:line="520" w:lineRule="exact"/>
        <w:ind w:firstLine="640" w:firstLineChars="200"/>
        <w:rPr>
          <w:rFonts w:ascii="仿宋_GB2312" w:hAnsi="Calibri" w:eastAsia="仿宋_GB2312" w:cs="仿宋_GB2312"/>
          <w:sz w:val="32"/>
          <w:szCs w:val="32"/>
          <w:lang w:bidi="ar"/>
        </w:rPr>
      </w:pPr>
      <w:r>
        <w:rPr>
          <w:rFonts w:hint="eastAsia" w:ascii="仿宋_GB2312" w:hAnsi="Calibri" w:eastAsia="仿宋_GB2312" w:cs="仿宋_GB2312"/>
          <w:sz w:val="32"/>
          <w:szCs w:val="32"/>
          <w:lang w:bidi="ar"/>
        </w:rPr>
        <w:t>文章要有明确的观点和具体内容，围绕教育教学实践开展研究，重在原创，突出重点，反映学术和实践创新。文章应包含题目、摘要（</w:t>
      </w:r>
      <w:r>
        <w:rPr>
          <w:rFonts w:eastAsia="仿宋_GB2312"/>
          <w:sz w:val="32"/>
          <w:szCs w:val="32"/>
          <w:lang w:bidi="ar"/>
        </w:rPr>
        <w:t>200</w:t>
      </w:r>
      <w:r>
        <w:rPr>
          <w:rFonts w:hint="eastAsia" w:ascii="仿宋_GB2312" w:hAnsi="Calibri" w:eastAsia="仿宋_GB2312" w:cs="仿宋_GB2312"/>
          <w:sz w:val="32"/>
          <w:szCs w:val="32"/>
          <w:lang w:bidi="ar"/>
        </w:rPr>
        <w:t>字以上）、关键词（</w:t>
      </w:r>
      <w:r>
        <w:rPr>
          <w:rFonts w:hint="eastAsia" w:eastAsia="仿宋_GB2312"/>
          <w:sz w:val="32"/>
          <w:szCs w:val="32"/>
          <w:lang w:bidi="ar"/>
        </w:rPr>
        <w:t>3-5</w:t>
      </w:r>
      <w:r>
        <w:rPr>
          <w:rFonts w:hint="eastAsia" w:ascii="仿宋_GB2312" w:hAnsi="Calibri" w:eastAsia="仿宋_GB2312" w:cs="仿宋_GB2312"/>
          <w:sz w:val="32"/>
          <w:szCs w:val="32"/>
          <w:lang w:bidi="ar"/>
        </w:rPr>
        <w:t>个）、正文、参考文献、文中引用等。</w:t>
      </w:r>
    </w:p>
    <w:p w14:paraId="25834E8A">
      <w:pPr>
        <w:spacing w:line="520" w:lineRule="exact"/>
        <w:ind w:firstLine="640" w:firstLineChars="200"/>
        <w:rPr>
          <w:rFonts w:ascii="仿宋_GB2312" w:hAnsi="Calibri" w:eastAsia="仿宋_GB2312" w:cs="仿宋_GB2312"/>
          <w:sz w:val="32"/>
          <w:szCs w:val="32"/>
          <w:lang w:bidi="ar"/>
        </w:rPr>
      </w:pPr>
      <w:r>
        <w:rPr>
          <w:rFonts w:hint="eastAsia" w:ascii="仿宋_GB2312" w:hAnsi="Calibri" w:eastAsia="仿宋_GB2312" w:cs="仿宋_GB2312"/>
          <w:sz w:val="32"/>
          <w:szCs w:val="32"/>
          <w:lang w:bidi="ar"/>
        </w:rPr>
        <w:t>作者一般不超过</w:t>
      </w:r>
      <w:r>
        <w:rPr>
          <w:rFonts w:hint="eastAsia" w:eastAsia="仿宋_GB2312"/>
          <w:sz w:val="32"/>
          <w:szCs w:val="32"/>
          <w:lang w:bidi="ar"/>
        </w:rPr>
        <w:t>3</w:t>
      </w:r>
      <w:r>
        <w:rPr>
          <w:rFonts w:hint="eastAsia" w:ascii="仿宋_GB2312" w:hAnsi="Calibri" w:eastAsia="仿宋_GB2312" w:cs="仿宋_GB2312"/>
          <w:sz w:val="32"/>
          <w:szCs w:val="32"/>
          <w:lang w:bidi="ar"/>
        </w:rPr>
        <w:t>人，全文以</w:t>
      </w:r>
      <w:r>
        <w:rPr>
          <w:rFonts w:eastAsia="仿宋_GB2312"/>
          <w:sz w:val="32"/>
          <w:szCs w:val="32"/>
          <w:lang w:bidi="ar"/>
        </w:rPr>
        <w:t>5000～8000</w:t>
      </w:r>
      <w:r>
        <w:rPr>
          <w:rFonts w:hint="eastAsia" w:ascii="仿宋_GB2312" w:hAnsi="Calibri" w:eastAsia="仿宋_GB2312" w:cs="仿宋_GB2312"/>
          <w:sz w:val="32"/>
          <w:szCs w:val="32"/>
          <w:lang w:bidi="ar"/>
        </w:rPr>
        <w:t>字为宜，不要在论文里写作者署名及工作单位等联系方式。</w:t>
      </w:r>
    </w:p>
    <w:p w14:paraId="3968D07C">
      <w:pPr>
        <w:spacing w:line="520" w:lineRule="exact"/>
        <w:ind w:firstLine="640" w:firstLineChars="200"/>
        <w:rPr>
          <w:rFonts w:ascii="仿宋_GB2312" w:hAnsi="Calibri" w:eastAsia="仿宋_GB2312" w:cs="仿宋_GB2312"/>
          <w:sz w:val="32"/>
          <w:szCs w:val="32"/>
          <w:lang w:bidi="ar"/>
        </w:rPr>
      </w:pPr>
      <w:r>
        <w:rPr>
          <w:rFonts w:hint="eastAsia" w:ascii="仿宋_GB2312" w:hAnsi="Calibri" w:eastAsia="仿宋_GB2312" w:cs="仿宋_GB2312"/>
          <w:sz w:val="32"/>
          <w:szCs w:val="32"/>
          <w:lang w:bidi="ar"/>
        </w:rPr>
        <w:t>具体论文格式规范可参考附4.</w:t>
      </w:r>
      <w:r>
        <w:rPr>
          <w:rFonts w:hint="eastAsia" w:eastAsia="仿宋_GB2312"/>
          <w:sz w:val="32"/>
          <w:szCs w:val="32"/>
          <w:lang w:bidi="ar"/>
        </w:rPr>
        <w:t>1</w:t>
      </w:r>
      <w:r>
        <w:rPr>
          <w:rFonts w:hint="eastAsia" w:ascii="仿宋_GB2312" w:hAnsi="Calibri" w:eastAsia="仿宋_GB2312" w:cs="仿宋_GB2312"/>
          <w:sz w:val="32"/>
          <w:szCs w:val="32"/>
          <w:lang w:bidi="ar"/>
        </w:rPr>
        <w:t>。</w:t>
      </w:r>
    </w:p>
    <w:p w14:paraId="05130269">
      <w:pPr>
        <w:spacing w:line="520" w:lineRule="exact"/>
        <w:ind w:firstLine="540"/>
        <w:outlineLvl w:val="1"/>
        <w:rPr>
          <w:rFonts w:ascii="楷体_GB2312" w:eastAsia="楷体_GB2312" w:cs="楷体_GB2312"/>
          <w:b/>
          <w:bCs/>
          <w:sz w:val="32"/>
          <w:szCs w:val="32"/>
          <w:lang w:bidi="ar"/>
        </w:rPr>
      </w:pPr>
      <w:r>
        <w:rPr>
          <w:rFonts w:hint="eastAsia" w:ascii="楷体_GB2312" w:eastAsia="楷体_GB2312" w:cs="楷体_GB2312"/>
          <w:b/>
          <w:bCs/>
          <w:sz w:val="32"/>
          <w:szCs w:val="32"/>
          <w:lang w:bidi="ar"/>
        </w:rPr>
        <w:t>（三）撰写要求</w:t>
      </w:r>
    </w:p>
    <w:p w14:paraId="4550360F">
      <w:pPr>
        <w:pStyle w:val="4"/>
        <w:spacing w:line="520" w:lineRule="exact"/>
        <w:rPr>
          <w:rFonts w:hAnsi="Calibri" w:cs="仿宋_GB2312"/>
          <w:bCs w:val="0"/>
          <w:szCs w:val="32"/>
          <w:lang w:bidi="ar"/>
        </w:rPr>
      </w:pPr>
      <w:r>
        <w:rPr>
          <w:rFonts w:hint="eastAsia" w:ascii="Times New Roman"/>
          <w:bCs w:val="0"/>
          <w:szCs w:val="32"/>
          <w:lang w:bidi="ar"/>
        </w:rPr>
        <w:t>1.</w:t>
      </w:r>
      <w:r>
        <w:rPr>
          <w:rFonts w:hint="eastAsia" w:hAnsi="Calibri" w:cs="仿宋_GB2312"/>
          <w:bCs w:val="0"/>
          <w:szCs w:val="32"/>
          <w:lang w:bidi="ar"/>
        </w:rPr>
        <w:t>价值性</w:t>
      </w:r>
    </w:p>
    <w:p w14:paraId="3136B4F7">
      <w:pPr>
        <w:pStyle w:val="4"/>
        <w:spacing w:line="520" w:lineRule="exact"/>
        <w:rPr>
          <w:rFonts w:hAnsi="Calibri" w:cs="仿宋_GB2312"/>
          <w:bCs w:val="0"/>
          <w:szCs w:val="32"/>
          <w:lang w:bidi="ar"/>
        </w:rPr>
      </w:pPr>
      <w:r>
        <w:rPr>
          <w:rFonts w:hint="eastAsia" w:hAnsi="Calibri" w:cs="仿宋_GB2312"/>
          <w:bCs w:val="0"/>
          <w:szCs w:val="32"/>
          <w:lang w:bidi="ar"/>
        </w:rPr>
        <w:t>选题价值：论文选题紧密结合当前教育教学实际情况，体现当前新课程改革的相关要求，突出数字技术与教育创新主题，具有重要的实践指导价值和可推广价值。</w:t>
      </w:r>
    </w:p>
    <w:p w14:paraId="1AC94791">
      <w:pPr>
        <w:pStyle w:val="4"/>
        <w:spacing w:line="520" w:lineRule="exact"/>
        <w:rPr>
          <w:rFonts w:hAnsi="Calibri" w:cs="仿宋_GB2312"/>
          <w:bCs w:val="0"/>
          <w:szCs w:val="32"/>
          <w:lang w:bidi="ar"/>
        </w:rPr>
      </w:pPr>
      <w:r>
        <w:rPr>
          <w:rFonts w:hint="eastAsia" w:hAnsi="Calibri" w:cs="仿宋_GB2312"/>
          <w:bCs w:val="0"/>
          <w:szCs w:val="32"/>
          <w:lang w:bidi="ar"/>
        </w:rPr>
        <w:t>应用价值：论文观点鲜明，围绕数字技术教育应用的理论与实践问题，提出切实有效的解决措施，重在解决实际问题，指导教学实践，具有启发性和可借鉴价值。</w:t>
      </w:r>
    </w:p>
    <w:p w14:paraId="36CB455E">
      <w:pPr>
        <w:pStyle w:val="4"/>
        <w:spacing w:line="520" w:lineRule="exact"/>
        <w:rPr>
          <w:rFonts w:hAnsi="Calibri" w:cs="仿宋_GB2312"/>
          <w:bCs w:val="0"/>
          <w:szCs w:val="32"/>
          <w:lang w:bidi="ar"/>
        </w:rPr>
      </w:pPr>
      <w:r>
        <w:rPr>
          <w:rFonts w:hint="eastAsia" w:ascii="Times New Roman"/>
          <w:bCs w:val="0"/>
          <w:szCs w:val="32"/>
          <w:lang w:bidi="ar"/>
        </w:rPr>
        <w:t>2.</w:t>
      </w:r>
      <w:r>
        <w:rPr>
          <w:rFonts w:hint="eastAsia" w:hAnsi="Calibri" w:cs="仿宋_GB2312"/>
          <w:bCs w:val="0"/>
          <w:szCs w:val="32"/>
          <w:lang w:bidi="ar"/>
        </w:rPr>
        <w:t>科学性</w:t>
      </w:r>
    </w:p>
    <w:p w14:paraId="2F30E9C3">
      <w:pPr>
        <w:pStyle w:val="4"/>
        <w:spacing w:line="520" w:lineRule="exact"/>
        <w:rPr>
          <w:rFonts w:hAnsi="Calibri" w:cs="仿宋_GB2312"/>
          <w:bCs w:val="0"/>
          <w:szCs w:val="32"/>
          <w:lang w:bidi="ar"/>
        </w:rPr>
      </w:pPr>
      <w:r>
        <w:rPr>
          <w:rFonts w:hint="eastAsia" w:hAnsi="Calibri" w:cs="仿宋_GB2312"/>
          <w:bCs w:val="0"/>
          <w:szCs w:val="32"/>
          <w:lang w:bidi="ar"/>
        </w:rPr>
        <w:t>论点正确，符合实际，表述准确。论据科学、稳定、严密；实验及调查数据准确可靠，符合教学规律，没有不确定、猜测性的内容。研究方法科学，资料数据详实，推理严密，统计分析正确。</w:t>
      </w:r>
    </w:p>
    <w:p w14:paraId="0284A3AD">
      <w:pPr>
        <w:pStyle w:val="4"/>
        <w:spacing w:line="520" w:lineRule="exact"/>
        <w:rPr>
          <w:rFonts w:hAnsi="Calibri" w:cs="仿宋_GB2312"/>
          <w:bCs w:val="0"/>
          <w:szCs w:val="32"/>
          <w:lang w:bidi="ar"/>
        </w:rPr>
      </w:pPr>
      <w:r>
        <w:rPr>
          <w:rFonts w:hint="eastAsia" w:ascii="Times New Roman"/>
          <w:bCs w:val="0"/>
          <w:szCs w:val="32"/>
          <w:lang w:bidi="ar"/>
        </w:rPr>
        <w:t>3.</w:t>
      </w:r>
      <w:r>
        <w:rPr>
          <w:rFonts w:hint="eastAsia" w:hAnsi="Calibri" w:cs="仿宋_GB2312"/>
          <w:bCs w:val="0"/>
          <w:szCs w:val="32"/>
          <w:lang w:bidi="ar"/>
        </w:rPr>
        <w:t>创新性</w:t>
      </w:r>
    </w:p>
    <w:p w14:paraId="3587E26A">
      <w:pPr>
        <w:pStyle w:val="4"/>
        <w:spacing w:line="520" w:lineRule="exact"/>
        <w:rPr>
          <w:rFonts w:hAnsi="Calibri" w:cs="仿宋_GB2312"/>
          <w:bCs w:val="0"/>
          <w:szCs w:val="32"/>
          <w:lang w:bidi="ar"/>
        </w:rPr>
      </w:pPr>
      <w:r>
        <w:rPr>
          <w:rFonts w:hint="eastAsia" w:hAnsi="Calibri" w:cs="仿宋_GB2312"/>
          <w:bCs w:val="0"/>
          <w:szCs w:val="32"/>
          <w:lang w:bidi="ar"/>
        </w:rPr>
        <w:t>理论创新：结合当前数字教育的理论研究进展，提出新的教育思想、方法和手段，对已有的数字教育理论进行科学的修正和补充，而不是对已有研究结论的再次论证。</w:t>
      </w:r>
    </w:p>
    <w:p w14:paraId="3905C9B0">
      <w:pPr>
        <w:pStyle w:val="4"/>
        <w:spacing w:line="520" w:lineRule="exact"/>
        <w:rPr>
          <w:rFonts w:hAnsi="Calibri" w:cs="仿宋_GB2312"/>
          <w:bCs w:val="0"/>
          <w:szCs w:val="32"/>
          <w:lang w:bidi="ar"/>
        </w:rPr>
      </w:pPr>
      <w:r>
        <w:rPr>
          <w:rFonts w:hint="eastAsia" w:hAnsi="Calibri" w:cs="仿宋_GB2312"/>
          <w:bCs w:val="0"/>
          <w:szCs w:val="32"/>
          <w:lang w:bidi="ar"/>
        </w:rPr>
        <w:t>实践创新：在数字教育应用实践方面取得创新的进展或突破，有新思考、新方法、新策略、新探索。</w:t>
      </w:r>
    </w:p>
    <w:p w14:paraId="2E1732DD">
      <w:pPr>
        <w:pStyle w:val="4"/>
        <w:spacing w:line="520" w:lineRule="exact"/>
        <w:rPr>
          <w:rFonts w:hAnsi="Calibri" w:cs="仿宋_GB2312"/>
          <w:bCs w:val="0"/>
          <w:szCs w:val="32"/>
          <w:lang w:bidi="ar"/>
        </w:rPr>
      </w:pPr>
      <w:r>
        <w:rPr>
          <w:rFonts w:hint="eastAsia" w:hAnsi="Calibri" w:cs="仿宋_GB2312"/>
          <w:bCs w:val="0"/>
          <w:szCs w:val="32"/>
          <w:lang w:bidi="ar"/>
        </w:rPr>
        <w:t>方法创新：用前沿的教育研究方法进行探索和研究。</w:t>
      </w:r>
    </w:p>
    <w:p w14:paraId="4B071E87">
      <w:pPr>
        <w:pStyle w:val="4"/>
        <w:spacing w:line="520" w:lineRule="exact"/>
        <w:rPr>
          <w:rFonts w:hAnsi="Calibri" w:cs="仿宋_GB2312"/>
          <w:bCs w:val="0"/>
          <w:szCs w:val="32"/>
          <w:lang w:bidi="ar"/>
        </w:rPr>
      </w:pPr>
      <w:r>
        <w:rPr>
          <w:rFonts w:hint="eastAsia" w:ascii="Times New Roman"/>
          <w:bCs w:val="0"/>
          <w:szCs w:val="32"/>
          <w:lang w:bidi="ar"/>
        </w:rPr>
        <w:t>4.</w:t>
      </w:r>
      <w:r>
        <w:rPr>
          <w:rFonts w:hint="eastAsia" w:hAnsi="Calibri" w:cs="仿宋_GB2312"/>
          <w:bCs w:val="0"/>
          <w:szCs w:val="32"/>
          <w:lang w:bidi="ar"/>
        </w:rPr>
        <w:t>规范性</w:t>
      </w:r>
    </w:p>
    <w:p w14:paraId="6B2AFD81">
      <w:pPr>
        <w:pStyle w:val="4"/>
        <w:spacing w:line="520" w:lineRule="exact"/>
        <w:rPr>
          <w:rFonts w:hAnsi="Calibri" w:cs="仿宋_GB2312"/>
          <w:bCs w:val="0"/>
          <w:szCs w:val="32"/>
          <w:lang w:bidi="ar"/>
        </w:rPr>
      </w:pPr>
      <w:r>
        <w:rPr>
          <w:rFonts w:hint="eastAsia" w:hAnsi="Calibri" w:cs="仿宋_GB2312"/>
          <w:bCs w:val="0"/>
          <w:szCs w:val="32"/>
          <w:lang w:bidi="ar"/>
        </w:rPr>
        <w:t>文章体例严谨（有关键词、摘要、正文和参考文献等），论述严谨，逻辑性强；概念表述清晰准确，内容和纲要切题，引用规范，图表制作精确；无知识性和常识性错误，文笔流畅，文字优美，可读性强。</w:t>
      </w:r>
    </w:p>
    <w:p w14:paraId="6B4C1D3F">
      <w:pPr>
        <w:pStyle w:val="4"/>
        <w:spacing w:line="520" w:lineRule="exact"/>
        <w:rPr>
          <w:rFonts w:hAnsi="Calibri" w:cs="仿宋_GB2312"/>
          <w:bCs w:val="0"/>
          <w:szCs w:val="32"/>
          <w:lang w:bidi="ar"/>
        </w:rPr>
      </w:pPr>
      <w:r>
        <w:rPr>
          <w:rFonts w:hint="eastAsia" w:ascii="Times New Roman"/>
          <w:bCs w:val="0"/>
          <w:szCs w:val="32"/>
          <w:lang w:bidi="ar"/>
        </w:rPr>
        <w:t>5.</w:t>
      </w:r>
      <w:r>
        <w:rPr>
          <w:rFonts w:hint="eastAsia" w:hAnsi="Calibri" w:cs="仿宋_GB2312"/>
          <w:bCs w:val="0"/>
          <w:szCs w:val="32"/>
          <w:lang w:bidi="ar"/>
        </w:rPr>
        <w:t>实践性</w:t>
      </w:r>
    </w:p>
    <w:p w14:paraId="620ADC91">
      <w:pPr>
        <w:pStyle w:val="4"/>
        <w:spacing w:line="520" w:lineRule="exact"/>
        <w:rPr>
          <w:rFonts w:hAnsi="Calibri" w:cs="仿宋_GB2312"/>
          <w:bCs w:val="0"/>
          <w:szCs w:val="32"/>
          <w:lang w:bidi="ar"/>
        </w:rPr>
      </w:pPr>
      <w:r>
        <w:rPr>
          <w:rFonts w:hint="eastAsia" w:hAnsi="Calibri" w:cs="仿宋_GB2312"/>
          <w:bCs w:val="0"/>
          <w:szCs w:val="32"/>
          <w:lang w:bidi="ar"/>
        </w:rPr>
        <w:t>能够结合教育教学实际，充分利用数字资源、产品（如“和教育”教育产品等）以及智慧教育平台（如“和教育”平台等）进行论文撰写。</w:t>
      </w:r>
    </w:p>
    <w:p w14:paraId="55BC890E">
      <w:pPr>
        <w:spacing w:line="520" w:lineRule="exact"/>
        <w:ind w:firstLine="540"/>
        <w:outlineLvl w:val="1"/>
        <w:rPr>
          <w:rFonts w:ascii="楷体_GB2312" w:eastAsia="楷体_GB2312" w:cs="楷体_GB2312"/>
          <w:b/>
          <w:bCs/>
          <w:sz w:val="32"/>
          <w:szCs w:val="32"/>
          <w:lang w:bidi="ar"/>
        </w:rPr>
      </w:pPr>
      <w:r>
        <w:rPr>
          <w:rFonts w:hint="eastAsia" w:ascii="楷体_GB2312" w:eastAsia="楷体_GB2312" w:cs="楷体_GB2312"/>
          <w:b/>
          <w:bCs/>
          <w:sz w:val="32"/>
          <w:szCs w:val="32"/>
          <w:lang w:bidi="ar"/>
        </w:rPr>
        <w:t>（四）论文资格审定</w:t>
      </w:r>
    </w:p>
    <w:p w14:paraId="3CE2CAE2">
      <w:pPr>
        <w:pStyle w:val="4"/>
        <w:spacing w:line="520" w:lineRule="exact"/>
        <w:rPr>
          <w:rFonts w:hAnsi="Calibri" w:cs="仿宋_GB2312"/>
          <w:bCs w:val="0"/>
          <w:szCs w:val="32"/>
          <w:lang w:bidi="ar"/>
        </w:rPr>
      </w:pPr>
      <w:r>
        <w:rPr>
          <w:rFonts w:hint="eastAsia" w:ascii="Times New Roman"/>
          <w:bCs w:val="0"/>
          <w:szCs w:val="32"/>
          <w:lang w:bidi="ar"/>
        </w:rPr>
        <w:t>1.</w:t>
      </w:r>
      <w:r>
        <w:rPr>
          <w:rFonts w:hint="eastAsia" w:hAnsi="Calibri" w:cs="仿宋_GB2312"/>
          <w:bCs w:val="0"/>
          <w:szCs w:val="32"/>
          <w:lang w:bidi="ar"/>
        </w:rPr>
        <w:t>有明显政治原则性错误和科学常识性错误的论文，取消推荐资格。</w:t>
      </w:r>
    </w:p>
    <w:p w14:paraId="638E100C">
      <w:pPr>
        <w:pStyle w:val="4"/>
        <w:spacing w:line="520" w:lineRule="exact"/>
        <w:rPr>
          <w:rFonts w:hAnsi="Calibri" w:cs="仿宋_GB2312"/>
          <w:bCs w:val="0"/>
          <w:szCs w:val="32"/>
          <w:lang w:bidi="ar"/>
        </w:rPr>
      </w:pPr>
      <w:r>
        <w:rPr>
          <w:rFonts w:hint="eastAsia" w:ascii="Times New Roman"/>
          <w:bCs w:val="0"/>
          <w:szCs w:val="32"/>
          <w:lang w:bidi="ar"/>
        </w:rPr>
        <w:t>2.</w:t>
      </w:r>
      <w:r>
        <w:rPr>
          <w:rFonts w:hint="eastAsia" w:hAnsi="Calibri" w:cs="仿宋_GB2312"/>
          <w:bCs w:val="0"/>
          <w:szCs w:val="32"/>
          <w:lang w:bidi="ar"/>
        </w:rPr>
        <w:t>严禁剽窃或抄袭行为，一经发现，直接取消该论文推荐资格，并将有关情况通报批评。作者需保证稿件及各种说明、引言等无任何法律纠纷，剽窃或抄袭产生的法律纠纷由作者本人负责。</w:t>
      </w:r>
    </w:p>
    <w:p w14:paraId="5C0A954B">
      <w:pPr>
        <w:pStyle w:val="4"/>
        <w:spacing w:line="520" w:lineRule="exact"/>
        <w:rPr>
          <w:rFonts w:hAnsi="Calibri" w:cs="仿宋_GB2312"/>
          <w:b/>
          <w:bCs/>
          <w:szCs w:val="32"/>
          <w:lang w:bidi="ar"/>
        </w:rPr>
      </w:pPr>
      <w:r>
        <w:rPr>
          <w:rFonts w:hint="eastAsia" w:ascii="Times New Roman"/>
          <w:bCs w:val="0"/>
          <w:szCs w:val="32"/>
          <w:lang w:bidi="ar"/>
        </w:rPr>
        <w:t>3.</w:t>
      </w:r>
      <w:r>
        <w:rPr>
          <w:rFonts w:hint="eastAsia" w:hAnsi="Calibri" w:cs="仿宋_GB2312"/>
          <w:bCs w:val="0"/>
          <w:szCs w:val="32"/>
          <w:lang w:bidi="ar"/>
        </w:rPr>
        <w:t>论文后须附查重报告，报告必须是本年度</w:t>
      </w:r>
      <w:r>
        <w:rPr>
          <w:rFonts w:hint="eastAsia" w:hAnsi="Calibri" w:cs="仿宋_GB2312"/>
          <w:bCs w:val="0"/>
          <w:szCs w:val="32"/>
          <w:lang w:val="en-US" w:eastAsia="zh-CN" w:bidi="ar"/>
        </w:rPr>
        <w:t>6月1日起</w:t>
      </w:r>
      <w:r>
        <w:rPr>
          <w:rFonts w:hint="eastAsia" w:hAnsi="Calibri" w:cs="仿宋_GB2312"/>
          <w:bCs w:val="0"/>
          <w:szCs w:val="32"/>
          <w:lang w:bidi="ar"/>
        </w:rPr>
        <w:t>使用知网进行查重且重复率不超过15%，</w:t>
      </w:r>
      <w:r>
        <w:rPr>
          <w:rFonts w:hint="eastAsia" w:hAnsi="Calibri" w:cs="仿宋_GB2312"/>
          <w:b/>
          <w:bCs/>
          <w:szCs w:val="32"/>
          <w:lang w:bidi="ar"/>
        </w:rPr>
        <w:t>无查重报告或重复率超过15%的论文</w:t>
      </w:r>
      <w:r>
        <w:rPr>
          <w:rFonts w:hint="eastAsia" w:hAnsi="Calibri" w:cs="仿宋_GB2312"/>
          <w:b/>
          <w:bCs/>
          <w:szCs w:val="32"/>
          <w:lang w:val="en-US" w:eastAsia="zh-CN" w:bidi="ar"/>
        </w:rPr>
        <w:t>，</w:t>
      </w:r>
      <w:r>
        <w:rPr>
          <w:rFonts w:hint="eastAsia" w:hAnsi="Calibri" w:cs="仿宋_GB2312"/>
          <w:b/>
          <w:bCs/>
          <w:szCs w:val="32"/>
          <w:lang w:bidi="ar"/>
        </w:rPr>
        <w:t>取消推荐资格。</w:t>
      </w:r>
    </w:p>
    <w:p w14:paraId="1D0E3E88">
      <w:pPr>
        <w:pStyle w:val="4"/>
        <w:spacing w:line="520" w:lineRule="exact"/>
        <w:rPr>
          <w:rFonts w:hAnsi="Calibri" w:cs="仿宋_GB2312"/>
          <w:bCs w:val="0"/>
          <w:szCs w:val="32"/>
          <w:lang w:bidi="ar"/>
        </w:rPr>
      </w:pPr>
      <w:r>
        <w:rPr>
          <w:rFonts w:hint="eastAsia" w:ascii="Times New Roman"/>
          <w:bCs w:val="0"/>
          <w:szCs w:val="32"/>
          <w:lang w:bidi="ar"/>
        </w:rPr>
        <w:t>4.</w:t>
      </w:r>
      <w:r>
        <w:rPr>
          <w:rFonts w:ascii="Times New Roman"/>
          <w:bCs w:val="0"/>
          <w:szCs w:val="32"/>
          <w:lang w:bidi="ar"/>
        </w:rPr>
        <w:t>AI</w:t>
      </w:r>
      <w:r>
        <w:rPr>
          <w:rFonts w:hint="eastAsia" w:hAnsi="Calibri" w:cs="仿宋_GB2312"/>
          <w:bCs w:val="0"/>
          <w:szCs w:val="32"/>
          <w:lang w:bidi="ar"/>
        </w:rPr>
        <w:t>使用须严格遵循</w:t>
      </w:r>
      <w:r>
        <w:rPr>
          <w:rFonts w:hAnsi="Calibri" w:cs="仿宋_GB2312"/>
          <w:bCs w:val="0"/>
          <w:szCs w:val="32"/>
          <w:lang w:bidi="ar"/>
        </w:rPr>
        <w:t>《教师生成式人工智能应用指引（第一版）》</w:t>
      </w:r>
      <w:r>
        <w:rPr>
          <w:rFonts w:hint="eastAsia" w:hAnsi="Calibri" w:cs="仿宋_GB2312"/>
          <w:bCs w:val="0"/>
          <w:szCs w:val="32"/>
          <w:lang w:bidi="ar"/>
        </w:rPr>
        <w:t>。如有</w:t>
      </w:r>
      <w:r>
        <w:rPr>
          <w:rFonts w:ascii="Times New Roman"/>
          <w:bCs w:val="0"/>
          <w:szCs w:val="32"/>
          <w:lang w:bidi="ar"/>
        </w:rPr>
        <w:t>AI</w:t>
      </w:r>
      <w:r>
        <w:rPr>
          <w:rFonts w:hint="eastAsia" w:hAnsi="Calibri" w:cs="仿宋_GB2312"/>
          <w:bCs w:val="0"/>
          <w:szCs w:val="32"/>
          <w:lang w:bidi="ar"/>
        </w:rPr>
        <w:t>生成的内容，在文章末尾须进行声明。严禁将</w:t>
      </w:r>
      <w:r>
        <w:rPr>
          <w:rFonts w:ascii="Times New Roman"/>
          <w:bCs w:val="0"/>
          <w:szCs w:val="32"/>
          <w:lang w:bidi="ar"/>
        </w:rPr>
        <w:t>AI</w:t>
      </w:r>
      <w:r>
        <w:rPr>
          <w:rFonts w:hint="eastAsia" w:hAnsi="Calibri" w:cs="仿宋_GB2312"/>
          <w:bCs w:val="0"/>
          <w:szCs w:val="32"/>
          <w:lang w:bidi="ar"/>
        </w:rPr>
        <w:t>生成的内容</w:t>
      </w:r>
      <w:r>
        <w:rPr>
          <w:rFonts w:hAnsi="Calibri" w:cs="仿宋_GB2312"/>
          <w:bCs w:val="0"/>
          <w:szCs w:val="32"/>
          <w:lang w:bidi="ar"/>
        </w:rPr>
        <w:t>作为自己的原创观点或研究成果，</w:t>
      </w:r>
      <w:r>
        <w:rPr>
          <w:rFonts w:hint="eastAsia" w:hAnsi="Calibri" w:cs="仿宋_GB2312"/>
          <w:bCs w:val="0"/>
          <w:szCs w:val="32"/>
          <w:lang w:bidi="ar"/>
        </w:rPr>
        <w:t>一经发现虚假参考文献或报告等，取消推荐资格</w:t>
      </w:r>
      <w:r>
        <w:rPr>
          <w:rFonts w:hAnsi="Calibri" w:cs="仿宋_GB2312"/>
          <w:bCs w:val="0"/>
          <w:szCs w:val="32"/>
          <w:lang w:bidi="ar"/>
        </w:rPr>
        <w:t>。</w:t>
      </w:r>
    </w:p>
    <w:p w14:paraId="4681AA8B">
      <w:pPr>
        <w:pStyle w:val="4"/>
        <w:spacing w:line="520" w:lineRule="exact"/>
        <w:rPr>
          <w:rFonts w:hAnsi="Calibri" w:cs="仿宋_GB2312"/>
          <w:bCs w:val="0"/>
          <w:szCs w:val="32"/>
          <w:lang w:bidi="ar"/>
        </w:rPr>
      </w:pPr>
      <w:r>
        <w:rPr>
          <w:rFonts w:hint="eastAsia" w:ascii="Times New Roman"/>
          <w:bCs w:val="0"/>
          <w:szCs w:val="32"/>
          <w:lang w:bidi="ar"/>
        </w:rPr>
        <w:t>5.</w:t>
      </w:r>
      <w:r>
        <w:rPr>
          <w:rFonts w:hint="eastAsia" w:hAnsi="Calibri" w:cs="仿宋_GB2312"/>
          <w:bCs w:val="0"/>
          <w:szCs w:val="32"/>
          <w:lang w:bidi="ar"/>
        </w:rPr>
        <w:t>作者所投稿件必须是从未在任何报刊、杂志等媒体发表过的原创论文，以及没有参与其他比赛、活动的论文。</w:t>
      </w:r>
    </w:p>
    <w:p w14:paraId="777866BE">
      <w:pPr>
        <w:pStyle w:val="4"/>
        <w:spacing w:line="520" w:lineRule="exact"/>
        <w:rPr>
          <w:rFonts w:hAnsi="Calibri" w:cs="仿宋_GB2312"/>
          <w:bCs w:val="0"/>
          <w:szCs w:val="32"/>
          <w:lang w:bidi="ar"/>
        </w:rPr>
      </w:pPr>
      <w:r>
        <w:rPr>
          <w:rFonts w:hint="eastAsia" w:ascii="Times New Roman"/>
          <w:bCs w:val="0"/>
          <w:szCs w:val="32"/>
          <w:lang w:bidi="ar"/>
        </w:rPr>
        <w:t>6.</w:t>
      </w:r>
      <w:r>
        <w:rPr>
          <w:rFonts w:hint="eastAsia" w:hAnsi="Calibri" w:cs="仿宋_GB2312"/>
          <w:bCs w:val="0"/>
          <w:szCs w:val="32"/>
          <w:lang w:bidi="ar"/>
        </w:rPr>
        <w:t xml:space="preserve">不符合论文格式要求的论文，取消推荐资格。 </w:t>
      </w:r>
    </w:p>
    <w:p w14:paraId="610A7577">
      <w:pPr>
        <w:ind w:firstLine="640" w:firstLineChars="200"/>
        <w:outlineLvl w:val="0"/>
        <w:rPr>
          <w:rFonts w:hint="eastAsia" w:ascii="黑体" w:hAnsi="宋体" w:eastAsia="黑体" w:cs="黑体"/>
          <w:sz w:val="32"/>
          <w:szCs w:val="32"/>
          <w:lang w:bidi="ar"/>
        </w:rPr>
      </w:pPr>
      <w:r>
        <w:rPr>
          <w:rFonts w:hint="eastAsia" w:ascii="黑体" w:hAnsi="宋体" w:eastAsia="黑体" w:cs="黑体"/>
          <w:sz w:val="32"/>
          <w:szCs w:val="32"/>
          <w:lang w:bidi="ar"/>
        </w:rPr>
        <w:t>三、活动流程</w:t>
      </w:r>
    </w:p>
    <w:p w14:paraId="69494C8A">
      <w:pPr>
        <w:spacing w:line="520" w:lineRule="exact"/>
        <w:ind w:firstLine="540"/>
        <w:outlineLvl w:val="1"/>
        <w:rPr>
          <w:rFonts w:ascii="楷体_GB2312" w:eastAsia="楷体_GB2312" w:cs="楷体_GB2312"/>
          <w:b/>
          <w:bCs/>
          <w:sz w:val="32"/>
          <w:szCs w:val="32"/>
          <w:lang w:bidi="ar"/>
        </w:rPr>
      </w:pPr>
      <w:r>
        <w:rPr>
          <w:rFonts w:hint="eastAsia" w:ascii="楷体_GB2312" w:eastAsia="楷体_GB2312" w:cs="楷体_GB2312"/>
          <w:b/>
          <w:bCs/>
          <w:sz w:val="32"/>
          <w:szCs w:val="32"/>
          <w:lang w:bidi="ar"/>
        </w:rPr>
        <w:t>（一）论文提交</w:t>
      </w:r>
    </w:p>
    <w:p w14:paraId="3C0A4311">
      <w:pPr>
        <w:pStyle w:val="4"/>
        <w:spacing w:line="520" w:lineRule="exact"/>
        <w:rPr>
          <w:rFonts w:ascii="Times New Roman"/>
          <w:bCs w:val="0"/>
          <w:szCs w:val="32"/>
        </w:rPr>
      </w:pPr>
      <w:r>
        <w:rPr>
          <w:rFonts w:hint="eastAsia" w:ascii="Times New Roman"/>
          <w:bCs w:val="0"/>
          <w:szCs w:val="32"/>
        </w:rPr>
        <w:t xml:space="preserve">本次论文活动采用在线投稿方式，参与活动的教师直接将论文提交到论文活动专用网站。首先进行注册，填写个人真实信息：作者姓名、单位（全称，可参考学校公章）、联系电话、电子邮件、通讯地址、邮政编码、文章重复率等；注册后提交论文和原创性声明，每人只能提交一篇论文，提交后不能修改，活动全程免费。 </w:t>
      </w:r>
    </w:p>
    <w:p w14:paraId="70BBC375">
      <w:pPr>
        <w:spacing w:line="520" w:lineRule="exact"/>
        <w:ind w:firstLine="640" w:firstLineChars="200"/>
        <w:rPr>
          <w:rFonts w:eastAsia="仿宋_GB2312"/>
          <w:sz w:val="32"/>
          <w:szCs w:val="32"/>
        </w:rPr>
      </w:pPr>
      <w:r>
        <w:rPr>
          <w:rFonts w:hint="eastAsia" w:eastAsia="仿宋_GB2312"/>
          <w:sz w:val="32"/>
          <w:szCs w:val="32"/>
        </w:rPr>
        <w:t>论文提交时间：6月1日-7月31日</w:t>
      </w:r>
    </w:p>
    <w:p w14:paraId="6E464900">
      <w:pPr>
        <w:spacing w:line="520" w:lineRule="exact"/>
        <w:ind w:firstLine="540"/>
        <w:outlineLvl w:val="1"/>
        <w:rPr>
          <w:rFonts w:ascii="楷体_GB2312" w:eastAsia="楷体_GB2312" w:cs="楷体_GB2312"/>
          <w:b/>
          <w:bCs/>
          <w:sz w:val="32"/>
          <w:szCs w:val="32"/>
          <w:lang w:bidi="ar"/>
        </w:rPr>
      </w:pPr>
      <w:r>
        <w:rPr>
          <w:rFonts w:hint="eastAsia" w:ascii="楷体_GB2312" w:eastAsia="楷体_GB2312" w:cs="楷体_GB2312"/>
          <w:b/>
          <w:bCs/>
          <w:sz w:val="32"/>
          <w:szCs w:val="32"/>
          <w:lang w:bidi="ar"/>
        </w:rPr>
        <w:t>（二）省级推荐</w:t>
      </w:r>
    </w:p>
    <w:p w14:paraId="196B7B9D">
      <w:pPr>
        <w:spacing w:line="520" w:lineRule="exact"/>
        <w:ind w:firstLine="640" w:firstLineChars="200"/>
        <w:rPr>
          <w:rFonts w:eastAsia="仿宋_GB2312"/>
          <w:sz w:val="32"/>
          <w:szCs w:val="32"/>
        </w:rPr>
      </w:pPr>
      <w:r>
        <w:rPr>
          <w:rFonts w:hint="eastAsia" w:eastAsia="仿宋_GB2312"/>
          <w:sz w:val="32"/>
          <w:szCs w:val="32"/>
        </w:rPr>
        <w:t>论文活动将组织省级推荐，各省级电教部门负责本地区论文资格审定和限额推荐。支持地区或学校组织论文撰写培训，提升教师论文写作水平。具体论文推荐标准见附4.2。</w:t>
      </w:r>
    </w:p>
    <w:p w14:paraId="4B71FE31">
      <w:pPr>
        <w:spacing w:line="520" w:lineRule="exact"/>
        <w:ind w:firstLine="640" w:firstLineChars="200"/>
        <w:rPr>
          <w:rFonts w:eastAsia="仿宋_GB2312"/>
          <w:sz w:val="32"/>
          <w:szCs w:val="32"/>
        </w:rPr>
      </w:pPr>
      <w:r>
        <w:rPr>
          <w:rFonts w:hint="eastAsia" w:eastAsia="仿宋_GB2312"/>
          <w:sz w:val="32"/>
          <w:szCs w:val="32"/>
        </w:rPr>
        <w:t>省级推荐时间：8月10日-9月10日。</w:t>
      </w:r>
    </w:p>
    <w:p w14:paraId="6F317491">
      <w:pPr>
        <w:spacing w:line="520" w:lineRule="exact"/>
        <w:ind w:firstLine="640" w:firstLineChars="200"/>
        <w:rPr>
          <w:rFonts w:eastAsia="仿宋_GB2312"/>
          <w:sz w:val="32"/>
          <w:szCs w:val="32"/>
        </w:rPr>
      </w:pPr>
      <w:r>
        <w:rPr>
          <w:rFonts w:hint="eastAsia" w:eastAsia="仿宋_GB2312"/>
          <w:sz w:val="32"/>
          <w:szCs w:val="32"/>
        </w:rPr>
        <w:t>集中报送时间：9月11日-9月20日。</w:t>
      </w:r>
    </w:p>
    <w:p w14:paraId="5751C58D">
      <w:pPr>
        <w:spacing w:line="520" w:lineRule="exact"/>
        <w:ind w:firstLine="540"/>
        <w:outlineLvl w:val="1"/>
        <w:rPr>
          <w:rFonts w:ascii="楷体_GB2312" w:eastAsia="楷体_GB2312" w:cs="楷体_GB2312"/>
          <w:b/>
          <w:bCs/>
          <w:sz w:val="32"/>
          <w:szCs w:val="32"/>
          <w:lang w:bidi="ar"/>
        </w:rPr>
      </w:pPr>
      <w:r>
        <w:rPr>
          <w:rFonts w:hint="eastAsia" w:ascii="楷体_GB2312" w:eastAsia="楷体_GB2312" w:cs="楷体_GB2312"/>
          <w:b/>
          <w:bCs/>
          <w:sz w:val="32"/>
          <w:szCs w:val="32"/>
          <w:lang w:bidi="ar"/>
        </w:rPr>
        <w:t>（三）全国推荐</w:t>
      </w:r>
    </w:p>
    <w:p w14:paraId="77149B32">
      <w:pPr>
        <w:pStyle w:val="4"/>
        <w:spacing w:line="520" w:lineRule="exact"/>
        <w:rPr>
          <w:rFonts w:ascii="Times New Roman"/>
          <w:bCs w:val="0"/>
          <w:szCs w:val="32"/>
        </w:rPr>
      </w:pPr>
      <w:r>
        <w:rPr>
          <w:rFonts w:hint="eastAsia" w:ascii="Times New Roman"/>
          <w:szCs w:val="32"/>
        </w:rPr>
        <w:t>教育部教育技术与资源发展中心（中央电化教育馆）</w:t>
      </w:r>
      <w:r>
        <w:rPr>
          <w:rFonts w:hint="eastAsia" w:ascii="Times New Roman"/>
          <w:bCs w:val="0"/>
          <w:szCs w:val="32"/>
        </w:rPr>
        <w:t>根据专家推荐，遴选出高质量论文。</w:t>
      </w:r>
    </w:p>
    <w:p w14:paraId="6C92B95C">
      <w:pPr>
        <w:spacing w:line="520" w:lineRule="exact"/>
        <w:ind w:firstLine="640" w:firstLineChars="200"/>
        <w:rPr>
          <w:rFonts w:eastAsia="仿宋_GB2312"/>
          <w:sz w:val="32"/>
          <w:szCs w:val="32"/>
        </w:rPr>
      </w:pPr>
      <w:r>
        <w:rPr>
          <w:rFonts w:hint="eastAsia" w:eastAsia="仿宋_GB2312"/>
          <w:sz w:val="32"/>
          <w:szCs w:val="32"/>
        </w:rPr>
        <w:t>全国推荐时间：9月</w:t>
      </w:r>
      <w:r>
        <w:rPr>
          <w:rFonts w:eastAsia="仿宋_GB2312"/>
          <w:sz w:val="32"/>
          <w:szCs w:val="32"/>
        </w:rPr>
        <w:t>21</w:t>
      </w:r>
      <w:r>
        <w:rPr>
          <w:rFonts w:hint="eastAsia" w:eastAsia="仿宋_GB2312"/>
          <w:sz w:val="32"/>
          <w:szCs w:val="32"/>
        </w:rPr>
        <w:t>日-10月10日。</w:t>
      </w:r>
    </w:p>
    <w:p w14:paraId="53DDE359">
      <w:pPr>
        <w:spacing w:line="520" w:lineRule="exact"/>
        <w:ind w:firstLine="640" w:firstLineChars="200"/>
        <w:rPr>
          <w:rFonts w:eastAsia="仿宋_GB2312"/>
          <w:sz w:val="32"/>
          <w:szCs w:val="32"/>
        </w:rPr>
      </w:pPr>
      <w:r>
        <w:rPr>
          <w:rFonts w:hint="eastAsia" w:eastAsia="仿宋_GB2312"/>
          <w:sz w:val="32"/>
          <w:szCs w:val="32"/>
        </w:rPr>
        <w:t>结果公示时间：11月上旬。</w:t>
      </w:r>
    </w:p>
    <w:p w14:paraId="0267C0F3">
      <w:pPr>
        <w:spacing w:line="520" w:lineRule="exact"/>
        <w:ind w:firstLine="640" w:firstLineChars="200"/>
        <w:rPr>
          <w:rFonts w:eastAsia="仿宋_GB2312"/>
          <w:sz w:val="32"/>
          <w:szCs w:val="32"/>
        </w:rPr>
      </w:pPr>
      <w:r>
        <w:rPr>
          <w:rFonts w:hint="eastAsia" w:eastAsia="仿宋_GB2312"/>
          <w:sz w:val="32"/>
          <w:szCs w:val="32"/>
        </w:rPr>
        <w:t>结果公布：随2026年全国师生数字素养提升实践活动（第三十届教师活动）结果一起公布。</w:t>
      </w:r>
    </w:p>
    <w:p w14:paraId="6161E82B">
      <w:pPr>
        <w:spacing w:line="520" w:lineRule="exact"/>
        <w:ind w:firstLine="640" w:firstLineChars="200"/>
        <w:rPr>
          <w:rFonts w:eastAsia="仿宋_GB2312"/>
          <w:sz w:val="32"/>
          <w:szCs w:val="32"/>
        </w:rPr>
      </w:pPr>
      <w:r>
        <w:rPr>
          <w:rFonts w:hint="eastAsia" w:eastAsia="仿宋_GB2312"/>
          <w:sz w:val="32"/>
          <w:szCs w:val="32"/>
        </w:rPr>
        <w:t>公布结果方式：在教育部教育技术与资源发展中心（中央电化教育馆）官网公布。</w:t>
      </w:r>
    </w:p>
    <w:p w14:paraId="041494D1">
      <w:pPr>
        <w:spacing w:line="520" w:lineRule="exact"/>
        <w:ind w:firstLine="540"/>
        <w:outlineLvl w:val="1"/>
        <w:rPr>
          <w:rFonts w:ascii="楷体_GB2312" w:eastAsia="楷体_GB2312" w:cs="楷体_GB2312"/>
          <w:b/>
          <w:bCs/>
          <w:sz w:val="32"/>
          <w:szCs w:val="32"/>
          <w:lang w:bidi="ar"/>
        </w:rPr>
      </w:pPr>
      <w:r>
        <w:rPr>
          <w:rFonts w:hint="eastAsia" w:ascii="楷体_GB2312" w:eastAsia="楷体_GB2312" w:cs="楷体_GB2312"/>
          <w:b/>
          <w:bCs/>
          <w:sz w:val="32"/>
          <w:szCs w:val="32"/>
          <w:lang w:bidi="ar"/>
        </w:rPr>
        <w:t>（四）交流展示</w:t>
      </w:r>
    </w:p>
    <w:p w14:paraId="249DBC37">
      <w:pPr>
        <w:pStyle w:val="4"/>
        <w:spacing w:line="520" w:lineRule="exact"/>
        <w:rPr>
          <w:rFonts w:ascii="Times New Roman"/>
          <w:bCs w:val="0"/>
          <w:szCs w:val="32"/>
        </w:rPr>
      </w:pPr>
      <w:r>
        <w:rPr>
          <w:rFonts w:hint="eastAsia" w:ascii="Times New Roman"/>
          <w:bCs w:val="0"/>
          <w:szCs w:val="32"/>
        </w:rPr>
        <w:t>通过公示的创新论文可参加全国展示交流活动（时间地点另行通知）。</w:t>
      </w:r>
    </w:p>
    <w:p w14:paraId="524A5CDA">
      <w:pPr>
        <w:ind w:firstLine="640" w:firstLineChars="200"/>
        <w:outlineLvl w:val="0"/>
        <w:rPr>
          <w:rFonts w:hint="eastAsia" w:ascii="黑体" w:hAnsi="宋体" w:eastAsia="黑体" w:cs="黑体"/>
          <w:sz w:val="32"/>
          <w:szCs w:val="32"/>
          <w:lang w:bidi="ar"/>
        </w:rPr>
      </w:pPr>
      <w:r>
        <w:rPr>
          <w:rFonts w:hint="eastAsia" w:ascii="黑体" w:hAnsi="宋体" w:eastAsia="黑体" w:cs="黑体"/>
          <w:sz w:val="32"/>
          <w:szCs w:val="32"/>
          <w:lang w:bidi="ar"/>
        </w:rPr>
        <w:t>四、活动网址</w:t>
      </w:r>
    </w:p>
    <w:p w14:paraId="09D8ECFE">
      <w:pPr>
        <w:pStyle w:val="4"/>
        <w:spacing w:line="520" w:lineRule="exact"/>
        <w:rPr>
          <w:rFonts w:ascii="Times New Roman"/>
          <w:bCs w:val="0"/>
          <w:szCs w:val="32"/>
        </w:rPr>
      </w:pPr>
      <w:r>
        <w:rPr>
          <w:rFonts w:hint="eastAsia" w:ascii="Times New Roman"/>
          <w:bCs w:val="0"/>
          <w:szCs w:val="32"/>
        </w:rPr>
        <w:t>论文活动专用网站（http://edu.10086.cn/lunwen），活动论文务必在此网站提交；</w:t>
      </w:r>
    </w:p>
    <w:p w14:paraId="62087EEC">
      <w:pPr>
        <w:pStyle w:val="4"/>
        <w:spacing w:line="520" w:lineRule="exact"/>
        <w:rPr>
          <w:rFonts w:ascii="Times New Roman"/>
          <w:bCs w:val="0"/>
          <w:szCs w:val="32"/>
        </w:rPr>
      </w:pPr>
      <w:r>
        <w:rPr>
          <w:rFonts w:hint="eastAsia" w:ascii="Times New Roman"/>
          <w:bCs w:val="0"/>
          <w:szCs w:val="32"/>
        </w:rPr>
        <w:t>手机客户端网址（http://edu.10086.cn/app）；</w:t>
      </w:r>
    </w:p>
    <w:p w14:paraId="7AFA1BD7">
      <w:pPr>
        <w:pStyle w:val="4"/>
        <w:spacing w:line="520" w:lineRule="exact"/>
        <w:rPr>
          <w:rFonts w:ascii="Times New Roman"/>
          <w:bCs w:val="0"/>
          <w:szCs w:val="32"/>
        </w:rPr>
      </w:pPr>
      <w:r>
        <w:rPr>
          <w:rFonts w:hint="eastAsia" w:ascii="Times New Roman"/>
          <w:bCs w:val="0"/>
          <w:szCs w:val="32"/>
        </w:rPr>
        <w:t>教育部教育技术与资源发展中心（中央电化教育馆）官网（</w:t>
      </w:r>
      <w:r>
        <w:rPr>
          <w:rFonts w:hint="eastAsia" w:ascii="Times New Roman"/>
          <w:bCs w:val="0"/>
          <w:szCs w:val="32"/>
        </w:rPr>
        <w:fldChar w:fldCharType="begin"/>
      </w:r>
      <w:r>
        <w:rPr>
          <w:rFonts w:hint="eastAsia" w:ascii="Times New Roman"/>
          <w:bCs w:val="0"/>
          <w:szCs w:val="32"/>
        </w:rPr>
        <w:instrText xml:space="preserve">HYPERLINK "http://www.ncet.edu.cn/"</w:instrText>
      </w:r>
      <w:r>
        <w:rPr>
          <w:rFonts w:hint="eastAsia" w:ascii="Times New Roman"/>
          <w:bCs w:val="0"/>
          <w:szCs w:val="32"/>
        </w:rPr>
        <w:fldChar w:fldCharType="separate"/>
      </w:r>
      <w:r>
        <w:rPr>
          <w:rFonts w:hint="eastAsia" w:ascii="Times New Roman"/>
          <w:bCs w:val="0"/>
          <w:szCs w:val="32"/>
        </w:rPr>
        <w:t>http://www.ncet.edu.cn/</w:t>
      </w:r>
      <w:r>
        <w:rPr>
          <w:rFonts w:hint="eastAsia" w:ascii="Times New Roman"/>
          <w:bCs w:val="0"/>
          <w:szCs w:val="32"/>
        </w:rPr>
        <w:fldChar w:fldCharType="end"/>
      </w:r>
      <w:r>
        <w:rPr>
          <w:rFonts w:hint="eastAsia" w:ascii="Times New Roman"/>
          <w:bCs w:val="0"/>
          <w:szCs w:val="32"/>
        </w:rPr>
        <w:t>）。</w:t>
      </w:r>
    </w:p>
    <w:p w14:paraId="680B0DD3">
      <w:pPr>
        <w:pStyle w:val="4"/>
        <w:spacing w:line="520" w:lineRule="exact"/>
        <w:rPr>
          <w:rFonts w:ascii="Times New Roman"/>
          <w:bCs w:val="0"/>
          <w:szCs w:val="32"/>
        </w:rPr>
      </w:pPr>
      <w:r>
        <w:rPr>
          <w:rFonts w:hint="eastAsia" w:ascii="Times New Roman"/>
          <w:bCs w:val="0"/>
          <w:szCs w:val="32"/>
        </w:rPr>
        <w:t>论文活动进展过程将在公众号发布，请及时关注公众号信息。</w:t>
      </w:r>
    </w:p>
    <w:p w14:paraId="0B1E4846">
      <w:pPr>
        <w:pStyle w:val="4"/>
        <w:ind w:firstLine="2800" w:firstLineChars="1000"/>
        <w:rPr>
          <w:rFonts w:ascii="Times New Roman"/>
          <w:bCs w:val="0"/>
          <w:sz w:val="28"/>
          <w:szCs w:val="32"/>
        </w:rPr>
      </w:pPr>
      <w:r>
        <w:rPr>
          <w:rFonts w:hint="eastAsia" w:ascii="Times New Roman"/>
          <w:sz w:val="28"/>
          <w:szCs w:val="32"/>
        </w:rPr>
        <w:drawing>
          <wp:inline distT="0" distB="0" distL="114300" distR="114300">
            <wp:extent cx="965200" cy="965200"/>
            <wp:effectExtent l="0" t="0" r="6350" b="6350"/>
            <wp:docPr id="2" name="图片 3" descr="论文活动二维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3" descr="论文活动二维码"/>
                    <pic:cNvPicPr>
                      <a:picLocks noChangeAspect="1"/>
                    </pic:cNvPicPr>
                  </pic:nvPicPr>
                  <pic:blipFill>
                    <a:blip r:embed="rId8"/>
                    <a:stretch>
                      <a:fillRect/>
                    </a:stretch>
                  </pic:blipFill>
                  <pic:spPr>
                    <a:xfrm>
                      <a:off x="0" y="0"/>
                      <a:ext cx="965200" cy="965200"/>
                    </a:xfrm>
                    <a:prstGeom prst="rect">
                      <a:avLst/>
                    </a:prstGeom>
                    <a:noFill/>
                    <a:ln>
                      <a:noFill/>
                    </a:ln>
                  </pic:spPr>
                </pic:pic>
              </a:graphicData>
            </a:graphic>
          </wp:inline>
        </w:drawing>
      </w:r>
    </w:p>
    <w:p w14:paraId="23C75922">
      <w:pPr>
        <w:ind w:firstLine="640" w:firstLineChars="200"/>
        <w:outlineLvl w:val="0"/>
        <w:rPr>
          <w:rFonts w:hint="eastAsia" w:ascii="黑体" w:hAnsi="宋体" w:eastAsia="黑体" w:cs="黑体"/>
          <w:sz w:val="32"/>
          <w:szCs w:val="32"/>
          <w:lang w:bidi="ar"/>
        </w:rPr>
      </w:pPr>
      <w:r>
        <w:rPr>
          <w:rFonts w:hint="eastAsia" w:ascii="黑体" w:hAnsi="宋体" w:eastAsia="黑体" w:cs="黑体"/>
          <w:sz w:val="32"/>
          <w:szCs w:val="32"/>
          <w:lang w:bidi="ar"/>
        </w:rPr>
        <w:t>五、活动组织</w:t>
      </w:r>
    </w:p>
    <w:p w14:paraId="31B32D91">
      <w:pPr>
        <w:pStyle w:val="4"/>
        <w:spacing w:line="520" w:lineRule="exact"/>
        <w:rPr>
          <w:rFonts w:ascii="Times New Roman"/>
          <w:bCs w:val="0"/>
          <w:szCs w:val="32"/>
        </w:rPr>
      </w:pPr>
      <w:r>
        <w:rPr>
          <w:rFonts w:hint="eastAsia" w:ascii="Times New Roman"/>
          <w:bCs w:val="0"/>
          <w:szCs w:val="32"/>
        </w:rPr>
        <w:t>论文活动由教育部教育技术与资源发展中心（中央电化教育馆）和中国移动通信集团公司共同主办。</w:t>
      </w:r>
    </w:p>
    <w:p w14:paraId="41E7E0B4">
      <w:pPr>
        <w:pStyle w:val="4"/>
        <w:spacing w:line="520" w:lineRule="exact"/>
        <w:rPr>
          <w:rFonts w:ascii="Times New Roman"/>
          <w:bCs w:val="0"/>
          <w:szCs w:val="32"/>
        </w:rPr>
      </w:pPr>
      <w:r>
        <w:rPr>
          <w:rFonts w:hint="eastAsia" w:ascii="Times New Roman"/>
          <w:bCs w:val="0"/>
          <w:szCs w:val="32"/>
        </w:rPr>
        <w:t>论文活动组委会办公室设在教育部教育技术与资源发展中心（中央电化教育馆）杂志社，负责论文活动日常事务工作。</w:t>
      </w:r>
    </w:p>
    <w:p w14:paraId="77A428BD">
      <w:pPr>
        <w:spacing w:line="520" w:lineRule="exact"/>
        <w:ind w:left="1003" w:hanging="360"/>
        <w:rPr>
          <w:rFonts w:eastAsia="仿宋_GB2312"/>
          <w:sz w:val="32"/>
          <w:szCs w:val="32"/>
        </w:rPr>
      </w:pPr>
      <w:r>
        <w:rPr>
          <w:rFonts w:hint="eastAsia" w:eastAsia="仿宋_GB2312"/>
          <w:sz w:val="32"/>
          <w:szCs w:val="32"/>
        </w:rPr>
        <w:t>联 系 人：李晔    邢西深</w:t>
      </w:r>
    </w:p>
    <w:p w14:paraId="6FBBC235">
      <w:pPr>
        <w:spacing w:line="520" w:lineRule="exact"/>
        <w:ind w:left="1003" w:hanging="360"/>
        <w:rPr>
          <w:rFonts w:eastAsia="仿宋_GB2312"/>
          <w:sz w:val="32"/>
          <w:szCs w:val="32"/>
        </w:rPr>
      </w:pPr>
      <w:r>
        <w:rPr>
          <w:rFonts w:hint="eastAsia" w:eastAsia="仿宋_GB2312"/>
          <w:sz w:val="32"/>
          <w:szCs w:val="32"/>
        </w:rPr>
        <w:t>联系电话：010-</w:t>
      </w:r>
      <w:r>
        <w:rPr>
          <w:rFonts w:eastAsia="仿宋_GB2312"/>
          <w:sz w:val="32"/>
          <w:szCs w:val="32"/>
        </w:rPr>
        <w:t>62514</w:t>
      </w:r>
      <w:r>
        <w:rPr>
          <w:rFonts w:hint="eastAsia" w:eastAsia="仿宋_GB2312"/>
          <w:sz w:val="32"/>
          <w:szCs w:val="32"/>
        </w:rPr>
        <w:t>910  62514749</w:t>
      </w:r>
    </w:p>
    <w:p w14:paraId="11166CA9">
      <w:pPr>
        <w:ind w:firstLine="640" w:firstLineChars="200"/>
        <w:rPr>
          <w:rFonts w:eastAsia="仿宋_GB2312" w:cs="仿宋_GB2312"/>
          <w:color w:val="000000"/>
          <w:sz w:val="32"/>
          <w:szCs w:val="32"/>
        </w:rPr>
      </w:pPr>
      <w:r>
        <w:rPr>
          <w:rFonts w:hint="eastAsia" w:eastAsia="仿宋_GB2312" w:cs="仿宋_GB2312"/>
          <w:color w:val="000000"/>
          <w:sz w:val="32"/>
          <w:szCs w:val="32"/>
        </w:rPr>
        <w:t>电子邮箱：</w:t>
      </w:r>
      <w:r>
        <w:rPr>
          <w:rFonts w:eastAsia="仿宋_GB2312" w:cs="仿宋_GB2312"/>
          <w:color w:val="000000"/>
          <w:sz w:val="32"/>
          <w:szCs w:val="32"/>
        </w:rPr>
        <w:t>leeye0211@163.com</w:t>
      </w:r>
      <w:r>
        <w:rPr>
          <w:rFonts w:hint="eastAsia" w:eastAsia="仿宋_GB2312" w:cs="仿宋_GB2312"/>
          <w:color w:val="000000"/>
          <w:sz w:val="32"/>
          <w:szCs w:val="32"/>
        </w:rPr>
        <w:t>（邮件主题注明“论文活动”）</w:t>
      </w:r>
    </w:p>
    <w:p w14:paraId="2453372F">
      <w:pPr>
        <w:spacing w:line="520" w:lineRule="exact"/>
        <w:ind w:firstLine="640" w:firstLineChars="200"/>
        <w:rPr>
          <w:rFonts w:eastAsia="仿宋_GB2312"/>
          <w:sz w:val="32"/>
          <w:szCs w:val="32"/>
        </w:rPr>
      </w:pPr>
      <w:r>
        <w:rPr>
          <w:rFonts w:hint="eastAsia" w:eastAsia="仿宋_GB2312" w:cs="仿宋_GB2312"/>
          <w:sz w:val="32"/>
          <w:szCs w:val="32"/>
        </w:rPr>
        <w:t>论文上传过程中如遇到技术问题，请拨打客服电话</w:t>
      </w:r>
      <w:r>
        <w:rPr>
          <w:rFonts w:eastAsia="仿宋_GB2312" w:cs="仿宋_GB2312"/>
          <w:color w:val="000000"/>
          <w:sz w:val="32"/>
          <w:szCs w:val="32"/>
        </w:rPr>
        <w:t>4001100868</w:t>
      </w:r>
      <w:r>
        <w:rPr>
          <w:rFonts w:hint="eastAsia" w:eastAsia="仿宋_GB2312" w:cs="仿宋_GB2312"/>
          <w:sz w:val="32"/>
          <w:szCs w:val="32"/>
        </w:rPr>
        <w:t>咨询</w:t>
      </w:r>
      <w:r>
        <w:rPr>
          <w:rFonts w:hint="eastAsia" w:eastAsia="仿宋_GB2312"/>
          <w:sz w:val="32"/>
          <w:szCs w:val="32"/>
        </w:rPr>
        <w:t>。</w:t>
      </w:r>
    </w:p>
    <w:p w14:paraId="2778CADC">
      <w:pPr>
        <w:rPr>
          <w:sz w:val="18"/>
          <w:szCs w:val="18"/>
        </w:rPr>
      </w:pPr>
      <w:r>
        <w:rPr>
          <w:rFonts w:eastAsia="仿宋_GB2312"/>
          <w:sz w:val="28"/>
          <w:szCs w:val="32"/>
        </w:rPr>
        <w:br w:type="page"/>
      </w:r>
      <w:r>
        <w:rPr>
          <w:rFonts w:hint="eastAsia" w:eastAsia="仿宋_GB2312"/>
          <w:sz w:val="32"/>
          <w:szCs w:val="32"/>
        </w:rPr>
        <w:t>附4.1</w:t>
      </w:r>
      <w:r>
        <w:rPr>
          <w:rFonts w:hint="eastAsia" w:eastAsia="仿宋_GB2312"/>
          <w:sz w:val="28"/>
          <w:szCs w:val="32"/>
        </w:rPr>
        <w:t>：</w:t>
      </w:r>
    </w:p>
    <w:p w14:paraId="600B2A05">
      <w:pPr>
        <w:spacing w:line="560" w:lineRule="exact"/>
        <w:jc w:val="center"/>
        <w:rPr>
          <w:rFonts w:eastAsia="方正小标宋简体"/>
          <w:bCs/>
          <w:color w:val="000000"/>
          <w:sz w:val="36"/>
          <w:szCs w:val="36"/>
        </w:rPr>
      </w:pPr>
      <w:r>
        <w:rPr>
          <w:rFonts w:hint="eastAsia" w:eastAsia="方正小标宋简体"/>
          <w:bCs/>
          <w:color w:val="000000"/>
          <w:sz w:val="36"/>
          <w:szCs w:val="36"/>
        </w:rPr>
        <w:t>论文格式模板</w:t>
      </w:r>
    </w:p>
    <w:p w14:paraId="2757E253">
      <w:pPr>
        <w:jc w:val="center"/>
        <w:rPr>
          <w:rFonts w:eastAsia="楷体"/>
          <w:b/>
          <w:bCs/>
          <w:color w:val="FF0000"/>
          <w:sz w:val="28"/>
          <w:szCs w:val="28"/>
          <w:highlight w:val="yellow"/>
        </w:rPr>
      </w:pPr>
      <w:r>
        <w:rPr>
          <w:rFonts w:hint="eastAsia" w:eastAsia="楷体"/>
          <w:b/>
          <w:bCs/>
          <w:color w:val="FF0000"/>
          <w:sz w:val="28"/>
          <w:szCs w:val="28"/>
          <w:highlight w:val="yellow"/>
        </w:rPr>
        <w:t>（可直接在此模板上进行撰写或排版）</w:t>
      </w:r>
    </w:p>
    <w:p w14:paraId="71926231">
      <w:pPr>
        <w:jc w:val="left"/>
      </w:pPr>
      <w:r>
        <w:rPr>
          <w:b/>
          <w:bCs/>
          <w:sz w:val="32"/>
          <w:szCs w:val="32"/>
        </w:rPr>
        <w:t>中文标题</w:t>
      </w:r>
      <w:r>
        <w:t>(宋体，加黑，小二号，左对齐，一般不超过25字)</w:t>
      </w:r>
    </w:p>
    <w:p w14:paraId="17CDDC0D">
      <w:r>
        <w:rPr>
          <w:sz w:val="30"/>
          <w:szCs w:val="30"/>
        </w:rPr>
        <w:t>——副标题</w:t>
      </w:r>
      <w:r>
        <w:t>（宋体，小三号，左对齐</w:t>
      </w:r>
      <w:r>
        <w:rPr>
          <w:rFonts w:hint="eastAsia"/>
        </w:rPr>
        <w:t>，可选</w:t>
      </w:r>
      <w:r>
        <w:t>）</w:t>
      </w:r>
    </w:p>
    <w:p w14:paraId="4F7FA814">
      <w:pPr>
        <w:rPr>
          <w:highlight w:val="yellow"/>
        </w:rPr>
      </w:pPr>
    </w:p>
    <w:p w14:paraId="6F5FDA6F">
      <w:pPr>
        <w:jc w:val="right"/>
        <w:rPr>
          <w:sz w:val="18"/>
          <w:szCs w:val="18"/>
        </w:rPr>
      </w:pPr>
    </w:p>
    <w:p w14:paraId="4B4BC5FD">
      <w:pPr>
        <w:rPr>
          <w:rFonts w:eastAsia="楷体"/>
          <w:sz w:val="18"/>
          <w:szCs w:val="18"/>
        </w:rPr>
      </w:pPr>
      <w:r>
        <w:rPr>
          <w:rFonts w:eastAsia="楷体"/>
          <w:sz w:val="18"/>
          <w:szCs w:val="18"/>
        </w:rPr>
        <w:t xml:space="preserve">   </w:t>
      </w:r>
      <w:r>
        <w:rPr>
          <w:rFonts w:eastAsia="楷体"/>
          <w:b/>
          <w:bCs/>
          <w:sz w:val="18"/>
          <w:szCs w:val="18"/>
        </w:rPr>
        <w:t xml:space="preserve"> </w:t>
      </w:r>
      <w:r>
        <w:rPr>
          <w:b/>
          <w:bCs/>
          <w:sz w:val="18"/>
          <w:szCs w:val="18"/>
        </w:rPr>
        <w:t>摘要（宋体，加黑，小五号）</w:t>
      </w:r>
      <w:r>
        <w:rPr>
          <w:rFonts w:eastAsia="楷体"/>
          <w:sz w:val="18"/>
          <w:szCs w:val="18"/>
        </w:rPr>
        <w:t>：</w:t>
      </w:r>
      <w:r>
        <w:rPr>
          <w:rFonts w:hint="eastAsia" w:eastAsia="楷体"/>
          <w:sz w:val="18"/>
          <w:szCs w:val="18"/>
        </w:rPr>
        <w:t>一般</w:t>
      </w:r>
      <w:r>
        <w:rPr>
          <w:rFonts w:eastAsia="楷体"/>
          <w:sz w:val="18"/>
          <w:szCs w:val="18"/>
        </w:rPr>
        <w:t>300-400字</w:t>
      </w:r>
      <w:r>
        <w:rPr>
          <w:rFonts w:hint="eastAsia" w:eastAsia="楷体"/>
          <w:sz w:val="18"/>
          <w:szCs w:val="18"/>
        </w:rPr>
        <w:t>。内容包括研究的目的、方法、结果和结论。对论文的指代使用“该文”。</w:t>
      </w:r>
      <w:r>
        <w:rPr>
          <w:rFonts w:eastAsia="楷体"/>
          <w:sz w:val="18"/>
          <w:szCs w:val="18"/>
        </w:rPr>
        <w:t>楷体，小五号)</w:t>
      </w:r>
    </w:p>
    <w:p w14:paraId="34F769E1">
      <w:pPr>
        <w:ind w:firstLine="361" w:firstLineChars="200"/>
        <w:rPr>
          <w:rFonts w:eastAsia="楷体"/>
          <w:sz w:val="18"/>
          <w:szCs w:val="18"/>
        </w:rPr>
      </w:pPr>
      <w:r>
        <w:rPr>
          <w:b/>
          <w:bCs/>
          <w:sz w:val="18"/>
          <w:szCs w:val="18"/>
        </w:rPr>
        <w:t>关键词（宋体，加黑，小五号）</w:t>
      </w:r>
      <w:r>
        <w:rPr>
          <w:rFonts w:eastAsia="楷体"/>
          <w:sz w:val="18"/>
          <w:szCs w:val="18"/>
        </w:rPr>
        <w:t>：关键词；关键词；关键词；关键词(楷体，小五号，3-8个为宜</w:t>
      </w:r>
      <w:r>
        <w:rPr>
          <w:rFonts w:hint="eastAsia" w:eastAsia="楷体"/>
          <w:sz w:val="18"/>
          <w:szCs w:val="18"/>
        </w:rPr>
        <w:t>，有检索意义，不宜使用过于宽泛的词语，如“方法”“理论”“分析”等，不要有国家领导人姓名。非专有名词首字母一般无需大写</w:t>
      </w:r>
      <w:r>
        <w:rPr>
          <w:rFonts w:eastAsia="楷体"/>
          <w:sz w:val="18"/>
          <w:szCs w:val="18"/>
        </w:rPr>
        <w:t>)</w:t>
      </w:r>
    </w:p>
    <w:p w14:paraId="12A5B6F4">
      <w:pPr>
        <w:ind w:firstLine="361" w:firstLineChars="200"/>
        <w:rPr>
          <w:rFonts w:eastAsia="楷体"/>
          <w:sz w:val="18"/>
          <w:szCs w:val="18"/>
        </w:rPr>
      </w:pPr>
      <w:r>
        <w:rPr>
          <w:rFonts w:hint="eastAsia"/>
          <w:b/>
          <w:bCs/>
          <w:sz w:val="18"/>
          <w:szCs w:val="18"/>
        </w:rPr>
        <w:t>中图分类号：G434                   文献标识码：A</w:t>
      </w:r>
    </w:p>
    <w:p w14:paraId="7A687CCA">
      <w:pPr>
        <w:rPr>
          <w:rFonts w:eastAsia="楷体"/>
          <w:sz w:val="18"/>
          <w:szCs w:val="18"/>
        </w:rPr>
      </w:pPr>
    </w:p>
    <w:p w14:paraId="15883C88">
      <w:pPr>
        <w:rPr>
          <w:rFonts w:eastAsia="楷体"/>
          <w:sz w:val="18"/>
          <w:szCs w:val="18"/>
        </w:rPr>
      </w:pPr>
    </w:p>
    <w:p w14:paraId="2686FDA8">
      <w:pPr>
        <w:ind w:firstLine="360"/>
        <w:rPr>
          <w:rFonts w:hint="eastAsia" w:ascii="宋体" w:hAnsi="宋体" w:cs="宋体"/>
          <w:szCs w:val="21"/>
        </w:rPr>
      </w:pPr>
      <w:r>
        <w:rPr>
          <w:rFonts w:hint="eastAsia" w:ascii="宋体" w:hAnsi="宋体" w:cs="宋体"/>
          <w:szCs w:val="21"/>
        </w:rPr>
        <w:t>正文部分通常包括引言、主体、结论和参考文献等。正文的表述应科学合理、客观真实、准确完整、层次清晰、逻辑严密、文字顺畅。</w:t>
      </w:r>
    </w:p>
    <w:p w14:paraId="23BDDE1D">
      <w:pPr>
        <w:rPr>
          <w:rFonts w:eastAsia="楷体"/>
          <w:sz w:val="18"/>
          <w:szCs w:val="18"/>
        </w:rPr>
      </w:pPr>
    </w:p>
    <w:p w14:paraId="45FECE55">
      <w:pPr>
        <w:rPr>
          <w:rFonts w:eastAsia="楷体"/>
          <w:sz w:val="18"/>
          <w:szCs w:val="18"/>
        </w:rPr>
      </w:pPr>
      <w:r>
        <w:rPr>
          <w:rFonts w:hint="eastAsia" w:eastAsia="楷体"/>
          <w:sz w:val="18"/>
          <w:szCs w:val="18"/>
        </w:rPr>
        <w:t xml:space="preserve">  </w:t>
      </w:r>
      <w:r>
        <w:rPr>
          <w:rFonts w:hint="eastAsia" w:ascii="黑体" w:hAnsi="黑体" w:eastAsia="黑体" w:cs="黑体"/>
          <w:sz w:val="24"/>
        </w:rPr>
        <w:t xml:space="preserve">  一、一级标题</w:t>
      </w:r>
      <w:r>
        <w:rPr>
          <w:rFonts w:hint="eastAsia"/>
        </w:rPr>
        <w:t>(黑体，小四号，</w:t>
      </w:r>
      <w:r>
        <w:rPr>
          <w:rFonts w:hint="eastAsia"/>
          <w:color w:val="FF0000"/>
        </w:rPr>
        <w:t>使用正文格式，不要自动编号</w:t>
      </w:r>
      <w:r>
        <w:rPr>
          <w:rFonts w:hint="eastAsia"/>
        </w:rPr>
        <w:t>)</w:t>
      </w:r>
    </w:p>
    <w:p w14:paraId="5B3E7DE0">
      <w:pPr>
        <w:ind w:firstLine="360"/>
        <w:rPr>
          <w:rFonts w:hint="eastAsia" w:ascii="宋体" w:hAnsi="宋体" w:cs="宋体"/>
          <w:szCs w:val="21"/>
        </w:rPr>
      </w:pPr>
      <w:r>
        <w:rPr>
          <w:rFonts w:hint="eastAsia" w:ascii="宋体" w:hAnsi="宋体" w:cs="宋体"/>
          <w:szCs w:val="21"/>
        </w:rPr>
        <w:t>正文正文正文正文正文正文正文正文正文正文正文正文正文正文正文正文正文正文正文正文正文正文正文正文正文正文正文正文正文正文正文正文正文正文正文正文正文正文正文正文正文正文。（宋体，五号）</w:t>
      </w:r>
    </w:p>
    <w:p w14:paraId="076FE2E7">
      <w:pPr>
        <w:ind w:firstLine="480" w:firstLineChars="200"/>
        <w:rPr>
          <w:rFonts w:hint="eastAsia" w:ascii="黑体" w:hAnsi="黑体" w:eastAsia="黑体" w:cs="黑体"/>
          <w:sz w:val="24"/>
        </w:rPr>
      </w:pPr>
      <w:r>
        <w:rPr>
          <w:rFonts w:hint="eastAsia" w:ascii="黑体" w:hAnsi="黑体" w:eastAsia="黑体" w:cs="黑体"/>
          <w:sz w:val="24"/>
        </w:rPr>
        <w:t>二、一级标题</w:t>
      </w:r>
    </w:p>
    <w:p w14:paraId="6A607A4D">
      <w:pPr>
        <w:ind w:firstLine="360"/>
        <w:rPr>
          <w:rFonts w:hint="eastAsia" w:ascii="宋体" w:hAnsi="宋体" w:cs="宋体"/>
          <w:szCs w:val="21"/>
        </w:rPr>
      </w:pPr>
      <w:bookmarkStart w:id="0" w:name="_Hlk218418864"/>
      <w:r>
        <w:rPr>
          <w:rFonts w:hint="eastAsia" w:ascii="宋体" w:hAnsi="宋体" w:cs="宋体"/>
          <w:szCs w:val="21"/>
        </w:rPr>
        <w:t>(一)二级标题(宋体，五号，</w:t>
      </w:r>
      <w:r>
        <w:rPr>
          <w:rFonts w:hint="eastAsia"/>
          <w:color w:val="FF0000"/>
        </w:rPr>
        <w:t>使用正文格式，不要自动编号</w:t>
      </w:r>
      <w:r>
        <w:rPr>
          <w:rFonts w:hint="eastAsia" w:ascii="宋体" w:hAnsi="宋体" w:cs="宋体"/>
          <w:szCs w:val="21"/>
        </w:rPr>
        <w:t>)</w:t>
      </w:r>
    </w:p>
    <w:bookmarkEnd w:id="0"/>
    <w:p w14:paraId="1240D9A1">
      <w:pPr>
        <w:ind w:firstLine="360"/>
        <w:rPr>
          <w:rFonts w:eastAsia="楷体"/>
          <w:szCs w:val="21"/>
        </w:rPr>
      </w:pPr>
      <w:r>
        <w:rPr>
          <w:rFonts w:hint="eastAsia" w:ascii="宋体" w:hAnsi="宋体" w:cs="宋体"/>
          <w:szCs w:val="21"/>
        </w:rPr>
        <w:t>1.三级标题(宋体，五号，</w:t>
      </w:r>
      <w:r>
        <w:rPr>
          <w:rFonts w:hint="eastAsia"/>
          <w:color w:val="FF0000"/>
        </w:rPr>
        <w:t>使用正文格式，不要自动编号</w:t>
      </w:r>
      <w:r>
        <w:rPr>
          <w:rFonts w:hint="eastAsia" w:ascii="宋体" w:hAnsi="宋体" w:cs="宋体"/>
          <w:szCs w:val="21"/>
        </w:rPr>
        <w:t>)</w:t>
      </w:r>
      <w:r>
        <w:rPr>
          <w:rFonts w:hint="eastAsia" w:eastAsia="楷体"/>
          <w:szCs w:val="21"/>
        </w:rPr>
        <w:t xml:space="preserve">    </w:t>
      </w:r>
    </w:p>
    <w:p w14:paraId="5CE9C06A">
      <w:pPr>
        <w:ind w:firstLine="360"/>
        <w:rPr>
          <w:rFonts w:hint="eastAsia" w:ascii="宋体" w:hAnsi="宋体" w:cs="宋体"/>
          <w:szCs w:val="21"/>
        </w:rPr>
      </w:pPr>
      <w:r>
        <w:rPr>
          <w:rFonts w:hint="eastAsia" w:ascii="宋体" w:hAnsi="宋体" w:cs="宋体"/>
          <w:szCs w:val="21"/>
        </w:rPr>
        <w:t>(1)四级标题(宋体，五号，</w:t>
      </w:r>
      <w:r>
        <w:rPr>
          <w:rFonts w:hint="eastAsia"/>
          <w:color w:val="FF0000"/>
        </w:rPr>
        <w:t>使用正文格式，不要自动编号。</w:t>
      </w:r>
      <w:r>
        <w:rPr>
          <w:rFonts w:hint="eastAsia"/>
        </w:rPr>
        <w:t>标题一般不宜超过四级。</w:t>
      </w:r>
      <w:r>
        <w:rPr>
          <w:rFonts w:hint="eastAsia" w:ascii="宋体" w:hAnsi="宋体" w:cs="宋体"/>
          <w:szCs w:val="21"/>
        </w:rPr>
        <w:t>)</w:t>
      </w:r>
    </w:p>
    <w:p w14:paraId="0E8794ED">
      <w:pPr>
        <w:ind w:firstLine="360"/>
        <w:rPr>
          <w:rFonts w:hint="eastAsia" w:ascii="宋体" w:hAnsi="宋体" w:cs="宋体"/>
          <w:szCs w:val="21"/>
        </w:rPr>
      </w:pPr>
      <w:r>
        <w:rPr>
          <w:rFonts w:hint="eastAsia" w:ascii="宋体" w:hAnsi="宋体" w:cs="宋体"/>
          <w:szCs w:val="21"/>
        </w:rPr>
        <w:t>教育数字化转型已成为全球教育现代化的核心驱动。《教育强国建设规划纲要(2024—2035年)》提出实施“国家教育数字化战略”，坚持应用导向、治理为基，推动集成化、智能化、国际化，建强用好国家智慧教育公共服务平台，建立横纵贯通、协同服务的数字教育体系</w:t>
      </w:r>
      <w:r>
        <w:rPr>
          <w:rFonts w:hint="eastAsia" w:ascii="宋体" w:hAnsi="宋体" w:cs="宋体"/>
          <w:szCs w:val="21"/>
          <w:vertAlign w:val="superscript"/>
        </w:rPr>
        <w:t>[1]</w:t>
      </w:r>
      <w:r>
        <w:rPr>
          <w:rFonts w:hint="eastAsia" w:ascii="宋体" w:hAnsi="宋体" w:cs="宋体"/>
          <w:szCs w:val="21"/>
        </w:rPr>
        <w:t>。（宋体，五号）</w:t>
      </w:r>
    </w:p>
    <w:p w14:paraId="02690997">
      <w:pPr>
        <w:ind w:firstLine="360"/>
        <w:rPr>
          <w:rFonts w:hint="eastAsia" w:ascii="宋体" w:hAnsi="宋体" w:cs="宋体"/>
          <w:sz w:val="18"/>
          <w:szCs w:val="18"/>
        </w:rPr>
      </w:pPr>
      <w:r>
        <w:rPr>
          <w:rFonts w:hint="eastAsia" w:ascii="宋体" w:hAnsi="宋体" w:cs="宋体"/>
          <w:b/>
          <w:bCs/>
          <w:sz w:val="18"/>
          <w:szCs w:val="18"/>
        </w:rPr>
        <w:t>(文中引。</w:t>
      </w:r>
      <w:r>
        <w:rPr>
          <w:rFonts w:hint="eastAsia" w:ascii="宋体" w:hAnsi="宋体" w:cs="宋体"/>
          <w:sz w:val="18"/>
          <w:szCs w:val="18"/>
        </w:rPr>
        <w:t>要求与文后的参考文献一一对应，在文中依次排列，用方括号作为上角标来标注，文中引必须从小到大依次排列，且不能有尾注等各种格式。例如：“战争不是神物，仍是世间的一种必然运动</w:t>
      </w:r>
      <w:r>
        <w:rPr>
          <w:rFonts w:hint="eastAsia" w:ascii="宋体" w:hAnsi="宋体" w:cs="宋体"/>
          <w:sz w:val="18"/>
          <w:szCs w:val="18"/>
          <w:vertAlign w:val="superscript"/>
        </w:rPr>
        <w:t>[5][6]</w:t>
      </w:r>
      <w:r>
        <w:rPr>
          <w:rFonts w:hint="eastAsia" w:ascii="宋体" w:hAnsi="宋体" w:cs="宋体"/>
          <w:sz w:val="18"/>
          <w:szCs w:val="18"/>
        </w:rPr>
        <w:t>，因此，孙子的规律，‘知己知彼，百战不殆’</w:t>
      </w:r>
      <w:r>
        <w:rPr>
          <w:rFonts w:hint="eastAsia" w:ascii="宋体" w:hAnsi="宋体" w:cs="宋体"/>
          <w:sz w:val="18"/>
          <w:szCs w:val="18"/>
          <w:vertAlign w:val="superscript"/>
        </w:rPr>
        <w:t>[7]</w:t>
      </w:r>
      <w:r>
        <w:rPr>
          <w:rFonts w:hint="eastAsia" w:ascii="宋体" w:hAnsi="宋体" w:cs="宋体"/>
          <w:sz w:val="18"/>
          <w:szCs w:val="18"/>
        </w:rPr>
        <w:t>，仍是科学的真理”</w:t>
      </w:r>
      <w:r>
        <w:rPr>
          <w:rFonts w:hint="eastAsia" w:ascii="宋体" w:hAnsi="宋体" w:cs="宋体"/>
          <w:sz w:val="18"/>
          <w:szCs w:val="18"/>
          <w:vertAlign w:val="superscript"/>
        </w:rPr>
        <w:t>[8－10]</w:t>
      </w:r>
      <w:r>
        <w:rPr>
          <w:rFonts w:hint="eastAsia" w:ascii="宋体" w:hAnsi="宋体" w:cs="宋体"/>
          <w:sz w:val="18"/>
          <w:szCs w:val="18"/>
        </w:rPr>
        <w:t>。)</w:t>
      </w:r>
    </w:p>
    <w:p w14:paraId="12A18FE5">
      <w:pPr>
        <w:ind w:firstLine="360"/>
        <w:rPr>
          <w:rFonts w:hint="eastAsia" w:ascii="宋体" w:hAnsi="宋体" w:cs="宋体"/>
          <w:sz w:val="18"/>
          <w:szCs w:val="18"/>
        </w:rPr>
      </w:pPr>
    </w:p>
    <w:p w14:paraId="5B19F3D9">
      <w:pPr>
        <w:ind w:firstLine="480" w:firstLineChars="200"/>
        <w:rPr>
          <w:rFonts w:hint="eastAsia" w:ascii="黑体" w:hAnsi="黑体" w:eastAsia="黑体" w:cs="黑体"/>
          <w:sz w:val="24"/>
        </w:rPr>
      </w:pPr>
      <w:bookmarkStart w:id="1" w:name="OLE_LINK6"/>
      <w:r>
        <w:rPr>
          <w:rFonts w:hint="eastAsia" w:ascii="黑体" w:hAnsi="黑体" w:eastAsia="黑体" w:cs="黑体"/>
          <w:sz w:val="24"/>
        </w:rPr>
        <w:t>三、一级标题</w:t>
      </w:r>
    </w:p>
    <w:bookmarkEnd w:id="1"/>
    <w:p w14:paraId="0DACAA65">
      <w:pPr>
        <w:ind w:firstLine="360"/>
        <w:rPr>
          <w:rFonts w:hint="eastAsia" w:ascii="宋体" w:hAnsi="宋体" w:cs="宋体"/>
          <w:szCs w:val="21"/>
        </w:rPr>
      </w:pPr>
    </w:p>
    <w:p w14:paraId="3411A102">
      <w:pPr>
        <w:ind w:firstLine="360"/>
        <w:rPr>
          <w:rFonts w:hint="eastAsia" w:ascii="宋体" w:hAnsi="宋体" w:cs="宋体"/>
          <w:szCs w:val="21"/>
        </w:rPr>
      </w:pPr>
      <w:r>
        <w:rPr>
          <w:rFonts w:hint="eastAsia" w:ascii="宋体" w:hAnsi="宋体" w:cs="宋体"/>
          <w:szCs w:val="21"/>
        </w:rPr>
        <w:t>国家数字教育资源公共服务平台与国家智慧教育公共服务平台的发展阶段如图1所示。</w:t>
      </w:r>
    </w:p>
    <w:p w14:paraId="235AAC09">
      <w:pPr>
        <w:ind w:firstLine="360"/>
        <w:jc w:val="center"/>
        <w:rPr>
          <w:rFonts w:hint="eastAsia" w:ascii="宋体" w:hAnsi="宋体" w:cs="宋体"/>
          <w:szCs w:val="21"/>
        </w:rPr>
      </w:pPr>
      <w:r>
        <w:drawing>
          <wp:inline distT="0" distB="0" distL="114300" distR="114300">
            <wp:extent cx="3898265" cy="2136140"/>
            <wp:effectExtent l="0" t="0" r="6985" b="1651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9"/>
                    <a:stretch>
                      <a:fillRect/>
                    </a:stretch>
                  </pic:blipFill>
                  <pic:spPr>
                    <a:xfrm>
                      <a:off x="0" y="0"/>
                      <a:ext cx="3898265" cy="2136140"/>
                    </a:xfrm>
                    <a:prstGeom prst="rect">
                      <a:avLst/>
                    </a:prstGeom>
                  </pic:spPr>
                </pic:pic>
              </a:graphicData>
            </a:graphic>
          </wp:inline>
        </w:drawing>
      </w:r>
    </w:p>
    <w:p w14:paraId="688694BB">
      <w:pPr>
        <w:ind w:firstLine="360"/>
        <w:jc w:val="center"/>
        <w:rPr>
          <w:rFonts w:hint="eastAsia" w:ascii="宋体" w:hAnsi="宋体" w:cs="宋体"/>
          <w:szCs w:val="21"/>
        </w:rPr>
      </w:pPr>
      <w:r>
        <w:rPr>
          <w:rFonts w:hint="eastAsia" w:ascii="宋体" w:hAnsi="宋体" w:cs="宋体"/>
          <w:szCs w:val="21"/>
        </w:rPr>
        <w:t>图1  国家数字教育资源与智慧教育平台的发展</w:t>
      </w:r>
    </w:p>
    <w:p w14:paraId="0E04C45F">
      <w:pPr>
        <w:ind w:firstLine="360"/>
        <w:rPr>
          <w:rFonts w:hint="eastAsia" w:ascii="黑体" w:hAnsi="黑体" w:eastAsia="黑体" w:cs="黑体"/>
          <w:sz w:val="18"/>
          <w:szCs w:val="18"/>
        </w:rPr>
      </w:pPr>
    </w:p>
    <w:p w14:paraId="67EE1C58">
      <w:pPr>
        <w:ind w:firstLine="360"/>
        <w:rPr>
          <w:rFonts w:hint="eastAsia" w:ascii="宋体" w:hAnsi="宋体" w:cs="宋体"/>
          <w:sz w:val="18"/>
          <w:szCs w:val="18"/>
        </w:rPr>
      </w:pPr>
      <w:r>
        <w:rPr>
          <w:rFonts w:hint="eastAsia" w:ascii="黑体" w:hAnsi="黑体" w:eastAsia="黑体" w:cs="黑体"/>
          <w:sz w:val="18"/>
          <w:szCs w:val="18"/>
        </w:rPr>
        <w:t>插图编号和标题</w:t>
      </w:r>
      <w:r>
        <w:rPr>
          <w:rFonts w:hint="eastAsia" w:ascii="宋体" w:hAnsi="宋体" w:cs="宋体"/>
          <w:sz w:val="18"/>
          <w:szCs w:val="18"/>
        </w:rPr>
        <w:t>(黑体，小五号，标题位于插图下面居中，如“</w:t>
      </w:r>
      <w:r>
        <w:rPr>
          <w:rFonts w:hint="eastAsia" w:ascii="黑体" w:hAnsi="黑体" w:eastAsia="黑体" w:cs="黑体"/>
          <w:sz w:val="18"/>
          <w:szCs w:val="18"/>
        </w:rPr>
        <w:t>图1  XXXX</w:t>
      </w:r>
      <w:r>
        <w:rPr>
          <w:rFonts w:hint="eastAsia" w:ascii="宋体" w:hAnsi="宋体" w:cs="宋体"/>
          <w:sz w:val="18"/>
          <w:szCs w:val="18"/>
        </w:rPr>
        <w:t>”)</w:t>
      </w:r>
    </w:p>
    <w:p w14:paraId="34C23FC6">
      <w:pPr>
        <w:ind w:firstLine="360"/>
        <w:rPr>
          <w:rFonts w:hint="eastAsia" w:ascii="宋体" w:hAnsi="宋体" w:cs="宋体"/>
          <w:sz w:val="18"/>
          <w:szCs w:val="18"/>
        </w:rPr>
      </w:pPr>
      <w:r>
        <w:rPr>
          <w:rFonts w:hint="eastAsia" w:ascii="宋体" w:hAnsi="宋体" w:cs="宋体"/>
          <w:sz w:val="18"/>
          <w:szCs w:val="18"/>
        </w:rPr>
        <w:t>正文中的插图不宜过大，少而精，清晰，宜紧置于首次提及该图编号的正文之后，先见文字后见图，如“如图××所示”等。图需要去掉所有的颜色和底影，只保留白底黑字。</w:t>
      </w:r>
    </w:p>
    <w:p w14:paraId="1B1566AC">
      <w:pPr>
        <w:ind w:firstLine="360"/>
        <w:rPr>
          <w:rFonts w:hint="eastAsia" w:ascii="宋体" w:hAnsi="宋体" w:cs="宋体"/>
          <w:sz w:val="18"/>
          <w:szCs w:val="18"/>
        </w:rPr>
      </w:pPr>
    </w:p>
    <w:p w14:paraId="1F10A2DD">
      <w:pPr>
        <w:ind w:firstLine="360"/>
        <w:rPr>
          <w:rFonts w:hint="eastAsia" w:ascii="宋体" w:hAnsi="宋体" w:cs="宋体"/>
          <w:sz w:val="18"/>
          <w:szCs w:val="18"/>
        </w:rPr>
      </w:pPr>
    </w:p>
    <w:p w14:paraId="5C44AB9C">
      <w:pPr>
        <w:ind w:firstLine="480" w:firstLineChars="200"/>
        <w:rPr>
          <w:rFonts w:hint="eastAsia" w:ascii="黑体" w:hAnsi="黑体" w:eastAsia="黑体" w:cs="黑体"/>
          <w:sz w:val="24"/>
        </w:rPr>
      </w:pPr>
      <w:r>
        <w:rPr>
          <w:rFonts w:hint="eastAsia" w:ascii="黑体" w:hAnsi="黑体" w:eastAsia="黑体" w:cs="黑体"/>
          <w:sz w:val="24"/>
        </w:rPr>
        <w:t>四、一级标题</w:t>
      </w:r>
    </w:p>
    <w:p w14:paraId="517869C5">
      <w:pPr>
        <w:ind w:firstLine="360"/>
        <w:rPr>
          <w:rFonts w:hint="eastAsia" w:ascii="宋体" w:hAnsi="宋体" w:cs="宋体"/>
          <w:szCs w:val="21"/>
        </w:rPr>
      </w:pPr>
      <w:r>
        <w:rPr>
          <w:rFonts w:hint="eastAsia" w:ascii="宋体" w:hAnsi="宋体" w:cs="宋体"/>
          <w:szCs w:val="21"/>
        </w:rPr>
        <w:t>最终提炼出国家平台课堂教学的三种典型应用模式：工具赋能型、双师授课型与自主探究型，如表1所示。</w:t>
      </w:r>
    </w:p>
    <w:p w14:paraId="137E8C33">
      <w:pPr>
        <w:jc w:val="center"/>
        <w:rPr>
          <w:rFonts w:eastAsia="黑体"/>
          <w:sz w:val="18"/>
          <w:szCs w:val="20"/>
        </w:rPr>
      </w:pPr>
      <w:r>
        <w:rPr>
          <w:rFonts w:eastAsia="黑体"/>
          <w:sz w:val="18"/>
          <w:szCs w:val="20"/>
        </w:rPr>
        <w:t>表1</w:t>
      </w:r>
      <w:r>
        <w:rPr>
          <w:rFonts w:hint="eastAsia" w:eastAsia="黑体"/>
          <w:sz w:val="18"/>
          <w:szCs w:val="20"/>
        </w:rPr>
        <w:t xml:space="preserve">  </w:t>
      </w:r>
      <w:r>
        <w:rPr>
          <w:rFonts w:eastAsia="黑体"/>
          <w:sz w:val="18"/>
          <w:szCs w:val="20"/>
        </w:rPr>
        <w:t>三</w:t>
      </w:r>
      <w:r>
        <w:rPr>
          <w:rFonts w:hint="eastAsia" w:eastAsia="黑体"/>
          <w:sz w:val="18"/>
          <w:szCs w:val="20"/>
        </w:rPr>
        <w:t>种</w:t>
      </w:r>
      <w:r>
        <w:rPr>
          <w:rFonts w:eastAsia="黑体"/>
          <w:sz w:val="18"/>
          <w:szCs w:val="20"/>
        </w:rPr>
        <w:t>课堂应用模式对比分析</w:t>
      </w:r>
    </w:p>
    <w:tbl>
      <w:tblPr>
        <w:tblStyle w:val="15"/>
        <w:tblW w:w="8505" w:type="dxa"/>
        <w:jc w:val="center"/>
        <w:tblBorders>
          <w:top w:val="single" w:color="000000" w:sz="4" w:space="0"/>
          <w:left w:val="none" w:color="auto" w:sz="0" w:space="0"/>
          <w:bottom w:val="single" w:color="000000" w:sz="4" w:space="0"/>
          <w:right w:val="none" w:color="auto" w:sz="0" w:space="0"/>
          <w:insideH w:val="single" w:color="000000" w:sz="4" w:space="0"/>
          <w:insideV w:val="single" w:color="000000" w:sz="4" w:space="0"/>
        </w:tblBorders>
        <w:shd w:val="clear" w:color="auto" w:fill="FFFFFF" w:themeFill="background1"/>
        <w:tblLayout w:type="fixed"/>
        <w:tblCellMar>
          <w:top w:w="0" w:type="dxa"/>
          <w:left w:w="0" w:type="dxa"/>
          <w:bottom w:w="0" w:type="dxa"/>
          <w:right w:w="0" w:type="dxa"/>
        </w:tblCellMar>
      </w:tblPr>
      <w:tblGrid>
        <w:gridCol w:w="993"/>
        <w:gridCol w:w="2552"/>
        <w:gridCol w:w="2834"/>
        <w:gridCol w:w="2126"/>
      </w:tblGrid>
      <w:tr w14:paraId="113A8173">
        <w:tblPrEx>
          <w:tblBorders>
            <w:top w:val="single" w:color="000000" w:sz="4" w:space="0"/>
            <w:left w:val="none" w:color="auto" w:sz="0" w:space="0"/>
            <w:bottom w:val="single" w:color="000000" w:sz="4" w:space="0"/>
            <w:right w:val="none" w:color="auto" w:sz="0" w:space="0"/>
            <w:insideH w:val="single" w:color="000000" w:sz="4" w:space="0"/>
            <w:insideV w:val="single" w:color="000000" w:sz="4" w:space="0"/>
          </w:tblBorders>
          <w:shd w:val="clear" w:color="auto" w:fill="FFFFFF" w:themeFill="background1"/>
          <w:tblCellMar>
            <w:top w:w="0" w:type="dxa"/>
            <w:left w:w="0" w:type="dxa"/>
            <w:bottom w:w="0" w:type="dxa"/>
            <w:right w:w="0" w:type="dxa"/>
          </w:tblCellMar>
        </w:tblPrEx>
        <w:trPr>
          <w:cantSplit/>
          <w:trHeight w:val="218" w:hRule="atLeast"/>
          <w:jc w:val="center"/>
        </w:trPr>
        <w:tc>
          <w:tcPr>
            <w:tcW w:w="993" w:type="dxa"/>
            <w:shd w:val="clear" w:color="auto" w:fill="FFFFFF" w:themeFill="background1"/>
            <w:tcMar>
              <w:top w:w="180" w:type="dxa"/>
              <w:left w:w="240" w:type="dxa"/>
              <w:bottom w:w="180" w:type="dxa"/>
              <w:right w:w="240" w:type="dxa"/>
            </w:tcMar>
            <w:vAlign w:val="center"/>
          </w:tcPr>
          <w:p w14:paraId="78D54E00">
            <w:pPr>
              <w:adjustRightInd w:val="0"/>
              <w:snapToGrid w:val="0"/>
              <w:jc w:val="center"/>
              <w:rPr>
                <w:rFonts w:eastAsia="黑体"/>
                <w:bCs/>
                <w:color w:val="000000"/>
                <w:sz w:val="18"/>
                <w:szCs w:val="18"/>
              </w:rPr>
            </w:pPr>
            <w:r>
              <w:rPr>
                <w:rFonts w:eastAsia="黑体"/>
                <w:bCs/>
                <w:color w:val="000000"/>
                <w:sz w:val="18"/>
                <w:szCs w:val="18"/>
              </w:rPr>
              <w:t>维度</w:t>
            </w:r>
          </w:p>
        </w:tc>
        <w:tc>
          <w:tcPr>
            <w:tcW w:w="2552" w:type="dxa"/>
            <w:shd w:val="clear" w:color="auto" w:fill="FFFFFF" w:themeFill="background1"/>
            <w:tcMar>
              <w:top w:w="180" w:type="dxa"/>
              <w:left w:w="240" w:type="dxa"/>
              <w:bottom w:w="180" w:type="dxa"/>
              <w:right w:w="240" w:type="dxa"/>
            </w:tcMar>
            <w:vAlign w:val="center"/>
          </w:tcPr>
          <w:p w14:paraId="2A1E4F29">
            <w:pPr>
              <w:adjustRightInd w:val="0"/>
              <w:snapToGrid w:val="0"/>
              <w:jc w:val="center"/>
              <w:rPr>
                <w:rFonts w:eastAsia="黑体"/>
                <w:bCs/>
                <w:color w:val="000000"/>
                <w:sz w:val="18"/>
                <w:szCs w:val="18"/>
              </w:rPr>
            </w:pPr>
            <w:r>
              <w:rPr>
                <w:rFonts w:eastAsia="黑体"/>
                <w:bCs/>
                <w:color w:val="000000"/>
                <w:sz w:val="18"/>
                <w:szCs w:val="18"/>
              </w:rPr>
              <w:t>工具赋能型</w:t>
            </w:r>
          </w:p>
        </w:tc>
        <w:tc>
          <w:tcPr>
            <w:tcW w:w="2834" w:type="dxa"/>
            <w:shd w:val="clear" w:color="auto" w:fill="FFFFFF" w:themeFill="background1"/>
            <w:tcMar>
              <w:top w:w="180" w:type="dxa"/>
              <w:left w:w="240" w:type="dxa"/>
              <w:bottom w:w="180" w:type="dxa"/>
              <w:right w:w="240" w:type="dxa"/>
            </w:tcMar>
            <w:vAlign w:val="center"/>
          </w:tcPr>
          <w:p w14:paraId="67CFA6CB">
            <w:pPr>
              <w:adjustRightInd w:val="0"/>
              <w:snapToGrid w:val="0"/>
              <w:jc w:val="center"/>
              <w:rPr>
                <w:rFonts w:eastAsia="黑体"/>
                <w:bCs/>
                <w:color w:val="000000"/>
                <w:sz w:val="18"/>
                <w:szCs w:val="18"/>
              </w:rPr>
            </w:pPr>
            <w:r>
              <w:rPr>
                <w:rFonts w:eastAsia="黑体"/>
                <w:bCs/>
                <w:color w:val="000000"/>
                <w:sz w:val="18"/>
                <w:szCs w:val="18"/>
              </w:rPr>
              <w:t>双师授课型</w:t>
            </w:r>
          </w:p>
        </w:tc>
        <w:tc>
          <w:tcPr>
            <w:tcW w:w="2126" w:type="dxa"/>
            <w:shd w:val="clear" w:color="auto" w:fill="FFFFFF" w:themeFill="background1"/>
            <w:tcMar>
              <w:top w:w="180" w:type="dxa"/>
              <w:left w:w="240" w:type="dxa"/>
              <w:bottom w:w="180" w:type="dxa"/>
              <w:right w:w="240" w:type="dxa"/>
            </w:tcMar>
            <w:vAlign w:val="center"/>
          </w:tcPr>
          <w:p w14:paraId="243E9DDA">
            <w:pPr>
              <w:adjustRightInd w:val="0"/>
              <w:snapToGrid w:val="0"/>
              <w:jc w:val="center"/>
              <w:rPr>
                <w:rFonts w:eastAsia="黑体"/>
                <w:bCs/>
                <w:color w:val="000000"/>
                <w:sz w:val="18"/>
                <w:szCs w:val="18"/>
              </w:rPr>
            </w:pPr>
            <w:r>
              <w:rPr>
                <w:rFonts w:eastAsia="黑体"/>
                <w:bCs/>
                <w:color w:val="000000"/>
                <w:sz w:val="18"/>
                <w:szCs w:val="18"/>
              </w:rPr>
              <w:t>自主探究型</w:t>
            </w:r>
          </w:p>
        </w:tc>
      </w:tr>
      <w:tr w14:paraId="20E2270F">
        <w:tblPrEx>
          <w:tblBorders>
            <w:top w:val="single" w:color="000000" w:sz="4" w:space="0"/>
            <w:left w:val="none" w:color="auto" w:sz="0" w:space="0"/>
            <w:bottom w:val="single" w:color="000000" w:sz="4" w:space="0"/>
            <w:right w:val="none" w:color="auto" w:sz="0" w:space="0"/>
            <w:insideH w:val="single" w:color="000000" w:sz="4" w:space="0"/>
            <w:insideV w:val="single" w:color="000000" w:sz="4" w:space="0"/>
          </w:tblBorders>
          <w:tblCellMar>
            <w:top w:w="0" w:type="dxa"/>
            <w:left w:w="0" w:type="dxa"/>
            <w:bottom w:w="0" w:type="dxa"/>
            <w:right w:w="0" w:type="dxa"/>
          </w:tblCellMar>
        </w:tblPrEx>
        <w:trPr>
          <w:cantSplit/>
          <w:trHeight w:val="23" w:hRule="atLeast"/>
          <w:jc w:val="center"/>
        </w:trPr>
        <w:tc>
          <w:tcPr>
            <w:tcW w:w="993" w:type="dxa"/>
            <w:shd w:val="clear" w:color="auto" w:fill="FFFFFF" w:themeFill="background1"/>
            <w:tcMar>
              <w:top w:w="180" w:type="dxa"/>
              <w:left w:w="240" w:type="dxa"/>
              <w:bottom w:w="180" w:type="dxa"/>
              <w:right w:w="240" w:type="dxa"/>
            </w:tcMar>
            <w:vAlign w:val="center"/>
          </w:tcPr>
          <w:p w14:paraId="0C84D6AC">
            <w:pPr>
              <w:adjustRightInd w:val="0"/>
              <w:snapToGrid w:val="0"/>
              <w:jc w:val="center"/>
              <w:rPr>
                <w:color w:val="000000"/>
                <w:sz w:val="18"/>
                <w:szCs w:val="18"/>
              </w:rPr>
            </w:pPr>
            <w:r>
              <w:rPr>
                <w:color w:val="000000"/>
                <w:sz w:val="18"/>
                <w:szCs w:val="18"/>
              </w:rPr>
              <w:t>核心目标</w:t>
            </w:r>
          </w:p>
        </w:tc>
        <w:tc>
          <w:tcPr>
            <w:tcW w:w="2552" w:type="dxa"/>
            <w:shd w:val="clear" w:color="auto" w:fill="FFFFFF" w:themeFill="background1"/>
            <w:tcMar>
              <w:top w:w="180" w:type="dxa"/>
              <w:left w:w="240" w:type="dxa"/>
              <w:bottom w:w="180" w:type="dxa"/>
              <w:right w:w="240" w:type="dxa"/>
            </w:tcMar>
            <w:vAlign w:val="center"/>
          </w:tcPr>
          <w:p w14:paraId="5F2C394F">
            <w:pPr>
              <w:adjustRightInd w:val="0"/>
              <w:snapToGrid w:val="0"/>
              <w:jc w:val="center"/>
              <w:rPr>
                <w:color w:val="000000"/>
                <w:sz w:val="18"/>
                <w:szCs w:val="18"/>
              </w:rPr>
            </w:pPr>
            <w:r>
              <w:rPr>
                <w:color w:val="000000"/>
                <w:sz w:val="18"/>
                <w:szCs w:val="18"/>
              </w:rPr>
              <w:t>技术赋能教学全流程</w:t>
            </w:r>
          </w:p>
        </w:tc>
        <w:tc>
          <w:tcPr>
            <w:tcW w:w="2834" w:type="dxa"/>
            <w:shd w:val="clear" w:color="auto" w:fill="FFFFFF" w:themeFill="background1"/>
            <w:tcMar>
              <w:top w:w="180" w:type="dxa"/>
              <w:left w:w="240" w:type="dxa"/>
              <w:bottom w:w="180" w:type="dxa"/>
              <w:right w:w="240" w:type="dxa"/>
            </w:tcMar>
            <w:vAlign w:val="center"/>
          </w:tcPr>
          <w:p w14:paraId="3E9F67B6">
            <w:pPr>
              <w:adjustRightInd w:val="0"/>
              <w:snapToGrid w:val="0"/>
              <w:jc w:val="center"/>
              <w:rPr>
                <w:color w:val="000000"/>
                <w:sz w:val="18"/>
                <w:szCs w:val="18"/>
              </w:rPr>
            </w:pPr>
            <w:r>
              <w:rPr>
                <w:color w:val="000000"/>
                <w:sz w:val="18"/>
                <w:szCs w:val="18"/>
              </w:rPr>
              <w:t>弥补师资专业短板</w:t>
            </w:r>
          </w:p>
        </w:tc>
        <w:tc>
          <w:tcPr>
            <w:tcW w:w="2126" w:type="dxa"/>
            <w:shd w:val="clear" w:color="auto" w:fill="FFFFFF" w:themeFill="background1"/>
            <w:tcMar>
              <w:top w:w="180" w:type="dxa"/>
              <w:left w:w="240" w:type="dxa"/>
              <w:bottom w:w="180" w:type="dxa"/>
              <w:right w:w="240" w:type="dxa"/>
            </w:tcMar>
            <w:vAlign w:val="center"/>
          </w:tcPr>
          <w:p w14:paraId="045A8D0F">
            <w:pPr>
              <w:adjustRightInd w:val="0"/>
              <w:snapToGrid w:val="0"/>
              <w:jc w:val="center"/>
              <w:rPr>
                <w:color w:val="000000"/>
                <w:sz w:val="18"/>
                <w:szCs w:val="18"/>
              </w:rPr>
            </w:pPr>
            <w:r>
              <w:rPr>
                <w:color w:val="000000"/>
                <w:sz w:val="18"/>
                <w:szCs w:val="18"/>
              </w:rPr>
              <w:t>促进学生自主建构</w:t>
            </w:r>
          </w:p>
        </w:tc>
      </w:tr>
      <w:tr w14:paraId="0D1FAE80">
        <w:tblPrEx>
          <w:tblBorders>
            <w:top w:val="single" w:color="000000" w:sz="4" w:space="0"/>
            <w:left w:val="none" w:color="auto" w:sz="0" w:space="0"/>
            <w:bottom w:val="single" w:color="000000" w:sz="4" w:space="0"/>
            <w:right w:val="none" w:color="auto" w:sz="0" w:space="0"/>
            <w:insideH w:val="single" w:color="000000" w:sz="4" w:space="0"/>
            <w:insideV w:val="single" w:color="000000" w:sz="4" w:space="0"/>
          </w:tblBorders>
          <w:tblCellMar>
            <w:top w:w="0" w:type="dxa"/>
            <w:left w:w="0" w:type="dxa"/>
            <w:bottom w:w="0" w:type="dxa"/>
            <w:right w:w="0" w:type="dxa"/>
          </w:tblCellMar>
        </w:tblPrEx>
        <w:trPr>
          <w:cantSplit/>
          <w:trHeight w:val="227" w:hRule="atLeast"/>
          <w:jc w:val="center"/>
        </w:trPr>
        <w:tc>
          <w:tcPr>
            <w:tcW w:w="993" w:type="dxa"/>
            <w:shd w:val="clear" w:color="auto" w:fill="FFFFFF" w:themeFill="background1"/>
            <w:tcMar>
              <w:top w:w="180" w:type="dxa"/>
              <w:left w:w="240" w:type="dxa"/>
              <w:bottom w:w="180" w:type="dxa"/>
              <w:right w:w="240" w:type="dxa"/>
            </w:tcMar>
            <w:vAlign w:val="center"/>
          </w:tcPr>
          <w:p w14:paraId="1F011D2E">
            <w:pPr>
              <w:adjustRightInd w:val="0"/>
              <w:snapToGrid w:val="0"/>
              <w:jc w:val="center"/>
              <w:rPr>
                <w:color w:val="000000"/>
                <w:sz w:val="18"/>
                <w:szCs w:val="18"/>
              </w:rPr>
            </w:pPr>
            <w:r>
              <w:rPr>
                <w:color w:val="000000"/>
                <w:sz w:val="18"/>
                <w:szCs w:val="18"/>
              </w:rPr>
              <w:t>主导角色</w:t>
            </w:r>
          </w:p>
        </w:tc>
        <w:tc>
          <w:tcPr>
            <w:tcW w:w="2552" w:type="dxa"/>
            <w:shd w:val="clear" w:color="auto" w:fill="FFFFFF" w:themeFill="background1"/>
            <w:tcMar>
              <w:top w:w="180" w:type="dxa"/>
              <w:left w:w="240" w:type="dxa"/>
              <w:bottom w:w="180" w:type="dxa"/>
              <w:right w:w="240" w:type="dxa"/>
            </w:tcMar>
            <w:vAlign w:val="center"/>
          </w:tcPr>
          <w:p w14:paraId="08C92011">
            <w:pPr>
              <w:adjustRightInd w:val="0"/>
              <w:snapToGrid w:val="0"/>
              <w:jc w:val="center"/>
              <w:rPr>
                <w:color w:val="000000"/>
                <w:sz w:val="18"/>
                <w:szCs w:val="18"/>
              </w:rPr>
            </w:pPr>
            <w:r>
              <w:rPr>
                <w:color w:val="000000"/>
                <w:sz w:val="18"/>
                <w:szCs w:val="18"/>
              </w:rPr>
              <w:t>教师主导+技术辅助</w:t>
            </w:r>
          </w:p>
        </w:tc>
        <w:tc>
          <w:tcPr>
            <w:tcW w:w="2834" w:type="dxa"/>
            <w:shd w:val="clear" w:color="auto" w:fill="FFFFFF" w:themeFill="background1"/>
            <w:tcMar>
              <w:top w:w="180" w:type="dxa"/>
              <w:left w:w="240" w:type="dxa"/>
              <w:bottom w:w="180" w:type="dxa"/>
              <w:right w:w="240" w:type="dxa"/>
            </w:tcMar>
            <w:vAlign w:val="center"/>
          </w:tcPr>
          <w:p w14:paraId="26DFE20D">
            <w:pPr>
              <w:adjustRightInd w:val="0"/>
              <w:snapToGrid w:val="0"/>
              <w:jc w:val="center"/>
              <w:rPr>
                <w:color w:val="000000"/>
                <w:sz w:val="18"/>
                <w:szCs w:val="18"/>
              </w:rPr>
            </w:pPr>
            <w:r>
              <w:rPr>
                <w:color w:val="000000"/>
                <w:sz w:val="18"/>
                <w:szCs w:val="18"/>
              </w:rPr>
              <w:t>双师协同(线上名师+线下教师)</w:t>
            </w:r>
          </w:p>
        </w:tc>
        <w:tc>
          <w:tcPr>
            <w:tcW w:w="2126" w:type="dxa"/>
            <w:shd w:val="clear" w:color="auto" w:fill="FFFFFF" w:themeFill="background1"/>
            <w:tcMar>
              <w:top w:w="180" w:type="dxa"/>
              <w:left w:w="240" w:type="dxa"/>
              <w:bottom w:w="180" w:type="dxa"/>
              <w:right w:w="240" w:type="dxa"/>
            </w:tcMar>
            <w:vAlign w:val="center"/>
          </w:tcPr>
          <w:p w14:paraId="75EFD733">
            <w:pPr>
              <w:adjustRightInd w:val="0"/>
              <w:snapToGrid w:val="0"/>
              <w:jc w:val="center"/>
              <w:rPr>
                <w:color w:val="000000"/>
                <w:sz w:val="18"/>
                <w:szCs w:val="18"/>
              </w:rPr>
            </w:pPr>
            <w:r>
              <w:rPr>
                <w:color w:val="000000"/>
                <w:sz w:val="18"/>
                <w:szCs w:val="18"/>
              </w:rPr>
              <w:t>学生主体+教师引导</w:t>
            </w:r>
          </w:p>
        </w:tc>
      </w:tr>
      <w:tr w14:paraId="4E798469">
        <w:tblPrEx>
          <w:tblBorders>
            <w:top w:val="single" w:color="000000" w:sz="4" w:space="0"/>
            <w:left w:val="none" w:color="auto" w:sz="0" w:space="0"/>
            <w:bottom w:val="single" w:color="000000" w:sz="4" w:space="0"/>
            <w:right w:val="none" w:color="auto" w:sz="0" w:space="0"/>
            <w:insideH w:val="single" w:color="000000" w:sz="4" w:space="0"/>
            <w:insideV w:val="single" w:color="000000" w:sz="4" w:space="0"/>
          </w:tblBorders>
          <w:tblCellMar>
            <w:top w:w="0" w:type="dxa"/>
            <w:left w:w="0" w:type="dxa"/>
            <w:bottom w:w="0" w:type="dxa"/>
            <w:right w:w="0" w:type="dxa"/>
          </w:tblCellMar>
        </w:tblPrEx>
        <w:trPr>
          <w:cantSplit/>
          <w:trHeight w:val="975" w:hRule="atLeast"/>
          <w:jc w:val="center"/>
        </w:trPr>
        <w:tc>
          <w:tcPr>
            <w:tcW w:w="993" w:type="dxa"/>
            <w:shd w:val="clear" w:color="auto" w:fill="FFFFFF" w:themeFill="background1"/>
            <w:tcMar>
              <w:top w:w="180" w:type="dxa"/>
              <w:left w:w="240" w:type="dxa"/>
              <w:bottom w:w="180" w:type="dxa"/>
              <w:right w:w="240" w:type="dxa"/>
            </w:tcMar>
            <w:vAlign w:val="center"/>
          </w:tcPr>
          <w:p w14:paraId="1376186E">
            <w:pPr>
              <w:adjustRightInd w:val="0"/>
              <w:snapToGrid w:val="0"/>
              <w:jc w:val="center"/>
              <w:rPr>
                <w:color w:val="000000"/>
                <w:sz w:val="18"/>
                <w:szCs w:val="18"/>
              </w:rPr>
            </w:pPr>
            <w:r>
              <w:rPr>
                <w:color w:val="000000"/>
                <w:sz w:val="18"/>
                <w:szCs w:val="18"/>
              </w:rPr>
              <w:t>关键技术功能</w:t>
            </w:r>
          </w:p>
        </w:tc>
        <w:tc>
          <w:tcPr>
            <w:tcW w:w="2552" w:type="dxa"/>
            <w:shd w:val="clear" w:color="auto" w:fill="FFFFFF" w:themeFill="background1"/>
            <w:tcMar>
              <w:top w:w="180" w:type="dxa"/>
              <w:left w:w="240" w:type="dxa"/>
              <w:bottom w:w="180" w:type="dxa"/>
              <w:right w:w="240" w:type="dxa"/>
            </w:tcMar>
            <w:vAlign w:val="center"/>
          </w:tcPr>
          <w:p w14:paraId="3493E2B8">
            <w:pPr>
              <w:adjustRightInd w:val="0"/>
              <w:snapToGrid w:val="0"/>
              <w:jc w:val="center"/>
              <w:rPr>
                <w:color w:val="000000"/>
                <w:sz w:val="18"/>
                <w:szCs w:val="18"/>
              </w:rPr>
            </w:pPr>
            <w:r>
              <w:rPr>
                <w:color w:val="000000"/>
                <w:sz w:val="18"/>
                <w:szCs w:val="18"/>
              </w:rPr>
              <w:t>资源推送(微课/任务单)</w:t>
            </w:r>
          </w:p>
          <w:p w14:paraId="286D6D82">
            <w:pPr>
              <w:adjustRightInd w:val="0"/>
              <w:snapToGrid w:val="0"/>
              <w:jc w:val="center"/>
              <w:rPr>
                <w:color w:val="000000"/>
                <w:sz w:val="18"/>
                <w:szCs w:val="18"/>
              </w:rPr>
            </w:pPr>
            <w:r>
              <w:rPr>
                <w:color w:val="000000"/>
                <w:sz w:val="18"/>
                <w:szCs w:val="18"/>
              </w:rPr>
              <w:t>交互工具(H5播放器/画板/计时器)</w:t>
            </w:r>
          </w:p>
          <w:p w14:paraId="090EE4B4">
            <w:pPr>
              <w:adjustRightInd w:val="0"/>
              <w:snapToGrid w:val="0"/>
              <w:jc w:val="center"/>
              <w:rPr>
                <w:color w:val="000000"/>
                <w:sz w:val="18"/>
                <w:szCs w:val="18"/>
              </w:rPr>
            </w:pPr>
            <w:r>
              <w:rPr>
                <w:color w:val="000000"/>
                <w:sz w:val="18"/>
                <w:szCs w:val="18"/>
              </w:rPr>
              <w:t>数据反馈(自动批改/学情报告)</w:t>
            </w:r>
          </w:p>
        </w:tc>
        <w:tc>
          <w:tcPr>
            <w:tcW w:w="2834" w:type="dxa"/>
            <w:shd w:val="clear" w:color="auto" w:fill="FFFFFF" w:themeFill="background1"/>
            <w:tcMar>
              <w:top w:w="180" w:type="dxa"/>
              <w:left w:w="240" w:type="dxa"/>
              <w:bottom w:w="180" w:type="dxa"/>
              <w:right w:w="240" w:type="dxa"/>
            </w:tcMar>
            <w:vAlign w:val="center"/>
          </w:tcPr>
          <w:p w14:paraId="1B688404">
            <w:pPr>
              <w:adjustRightInd w:val="0"/>
              <w:snapToGrid w:val="0"/>
              <w:jc w:val="center"/>
              <w:rPr>
                <w:color w:val="000000"/>
                <w:sz w:val="18"/>
                <w:szCs w:val="18"/>
              </w:rPr>
            </w:pPr>
            <w:r>
              <w:rPr>
                <w:color w:val="000000"/>
                <w:sz w:val="18"/>
                <w:szCs w:val="18"/>
              </w:rPr>
              <w:t>名师示范视频</w:t>
            </w:r>
          </w:p>
          <w:p w14:paraId="139D50E4">
            <w:pPr>
              <w:adjustRightInd w:val="0"/>
              <w:snapToGrid w:val="0"/>
              <w:jc w:val="center"/>
              <w:rPr>
                <w:color w:val="000000"/>
                <w:sz w:val="18"/>
                <w:szCs w:val="18"/>
              </w:rPr>
            </w:pPr>
            <w:r>
              <w:rPr>
                <w:color w:val="000000"/>
                <w:sz w:val="18"/>
                <w:szCs w:val="18"/>
              </w:rPr>
              <w:t>分层播放控制</w:t>
            </w:r>
          </w:p>
          <w:p w14:paraId="15350097">
            <w:pPr>
              <w:adjustRightInd w:val="0"/>
              <w:snapToGrid w:val="0"/>
              <w:jc w:val="center"/>
              <w:rPr>
                <w:color w:val="000000"/>
                <w:sz w:val="18"/>
                <w:szCs w:val="18"/>
              </w:rPr>
            </w:pPr>
            <w:r>
              <w:rPr>
                <w:color w:val="000000"/>
                <w:sz w:val="18"/>
                <w:szCs w:val="18"/>
              </w:rPr>
              <w:t>文化资源拓展</w:t>
            </w:r>
          </w:p>
        </w:tc>
        <w:tc>
          <w:tcPr>
            <w:tcW w:w="2126" w:type="dxa"/>
            <w:shd w:val="clear" w:color="auto" w:fill="FFFFFF" w:themeFill="background1"/>
            <w:tcMar>
              <w:top w:w="180" w:type="dxa"/>
              <w:left w:w="240" w:type="dxa"/>
              <w:bottom w:w="180" w:type="dxa"/>
              <w:right w:w="240" w:type="dxa"/>
            </w:tcMar>
            <w:vAlign w:val="center"/>
          </w:tcPr>
          <w:p w14:paraId="2D645874">
            <w:pPr>
              <w:adjustRightInd w:val="0"/>
              <w:snapToGrid w:val="0"/>
              <w:jc w:val="center"/>
              <w:rPr>
                <w:color w:val="000000"/>
                <w:sz w:val="18"/>
                <w:szCs w:val="18"/>
              </w:rPr>
            </w:pPr>
            <w:r>
              <w:rPr>
                <w:color w:val="000000"/>
                <w:sz w:val="18"/>
                <w:szCs w:val="18"/>
              </w:rPr>
              <w:t>分层任务推送</w:t>
            </w:r>
          </w:p>
          <w:p w14:paraId="7DA22B6F">
            <w:pPr>
              <w:adjustRightInd w:val="0"/>
              <w:snapToGrid w:val="0"/>
              <w:jc w:val="center"/>
              <w:rPr>
                <w:color w:val="000000"/>
                <w:sz w:val="18"/>
                <w:szCs w:val="18"/>
              </w:rPr>
            </w:pPr>
            <w:r>
              <w:rPr>
                <w:color w:val="000000"/>
                <w:sz w:val="18"/>
                <w:szCs w:val="18"/>
              </w:rPr>
              <w:t>群组研讨工具</w:t>
            </w:r>
          </w:p>
          <w:p w14:paraId="51694499">
            <w:pPr>
              <w:adjustRightInd w:val="0"/>
              <w:snapToGrid w:val="0"/>
              <w:jc w:val="center"/>
              <w:rPr>
                <w:color w:val="000000"/>
                <w:sz w:val="18"/>
                <w:szCs w:val="18"/>
              </w:rPr>
            </w:pPr>
            <w:r>
              <w:rPr>
                <w:color w:val="000000"/>
                <w:sz w:val="18"/>
                <w:szCs w:val="18"/>
              </w:rPr>
              <w:t>学情诊断系统</w:t>
            </w:r>
          </w:p>
        </w:tc>
      </w:tr>
      <w:tr w14:paraId="785C6FDA">
        <w:tblPrEx>
          <w:tblBorders>
            <w:top w:val="single" w:color="000000" w:sz="4" w:space="0"/>
            <w:left w:val="none" w:color="auto" w:sz="0" w:space="0"/>
            <w:bottom w:val="single" w:color="000000" w:sz="4" w:space="0"/>
            <w:right w:val="none" w:color="auto" w:sz="0" w:space="0"/>
            <w:insideH w:val="single" w:color="000000" w:sz="4" w:space="0"/>
            <w:insideV w:val="single" w:color="000000" w:sz="4" w:space="0"/>
          </w:tblBorders>
          <w:tblCellMar>
            <w:top w:w="0" w:type="dxa"/>
            <w:left w:w="0" w:type="dxa"/>
            <w:bottom w:w="0" w:type="dxa"/>
            <w:right w:w="0" w:type="dxa"/>
          </w:tblCellMar>
        </w:tblPrEx>
        <w:trPr>
          <w:cantSplit/>
          <w:trHeight w:val="723" w:hRule="atLeast"/>
          <w:jc w:val="center"/>
        </w:trPr>
        <w:tc>
          <w:tcPr>
            <w:tcW w:w="993" w:type="dxa"/>
            <w:shd w:val="clear" w:color="auto" w:fill="FFFFFF" w:themeFill="background1"/>
            <w:tcMar>
              <w:top w:w="180" w:type="dxa"/>
              <w:left w:w="240" w:type="dxa"/>
              <w:bottom w:w="180" w:type="dxa"/>
              <w:right w:w="240" w:type="dxa"/>
            </w:tcMar>
            <w:vAlign w:val="center"/>
          </w:tcPr>
          <w:p w14:paraId="26D9A064">
            <w:pPr>
              <w:adjustRightInd w:val="0"/>
              <w:snapToGrid w:val="0"/>
              <w:jc w:val="center"/>
              <w:rPr>
                <w:color w:val="000000"/>
                <w:sz w:val="18"/>
                <w:szCs w:val="18"/>
              </w:rPr>
            </w:pPr>
            <w:r>
              <w:rPr>
                <w:color w:val="000000"/>
                <w:sz w:val="18"/>
                <w:szCs w:val="18"/>
              </w:rPr>
              <w:t>适用场景</w:t>
            </w:r>
          </w:p>
        </w:tc>
        <w:tc>
          <w:tcPr>
            <w:tcW w:w="2552" w:type="dxa"/>
            <w:shd w:val="clear" w:color="auto" w:fill="FFFFFF" w:themeFill="background1"/>
            <w:tcMar>
              <w:top w:w="180" w:type="dxa"/>
              <w:left w:w="240" w:type="dxa"/>
              <w:bottom w:w="180" w:type="dxa"/>
              <w:right w:w="240" w:type="dxa"/>
            </w:tcMar>
            <w:vAlign w:val="center"/>
          </w:tcPr>
          <w:p w14:paraId="05EAD38E">
            <w:pPr>
              <w:adjustRightInd w:val="0"/>
              <w:snapToGrid w:val="0"/>
              <w:jc w:val="center"/>
              <w:rPr>
                <w:color w:val="000000"/>
                <w:sz w:val="18"/>
                <w:szCs w:val="18"/>
              </w:rPr>
            </w:pPr>
            <w:r>
              <w:rPr>
                <w:color w:val="000000"/>
                <w:sz w:val="18"/>
                <w:szCs w:val="18"/>
              </w:rPr>
              <w:t>常规学科教学</w:t>
            </w:r>
          </w:p>
          <w:p w14:paraId="1CC29D0B">
            <w:pPr>
              <w:adjustRightInd w:val="0"/>
              <w:snapToGrid w:val="0"/>
              <w:jc w:val="center"/>
              <w:rPr>
                <w:color w:val="000000"/>
                <w:sz w:val="18"/>
                <w:szCs w:val="18"/>
              </w:rPr>
            </w:pPr>
            <w:r>
              <w:rPr>
                <w:color w:val="000000"/>
                <w:sz w:val="18"/>
                <w:szCs w:val="18"/>
              </w:rPr>
              <w:t>(城市占比68.2</w:t>
            </w:r>
            <w:r>
              <w:rPr>
                <w:rFonts w:hint="eastAsia"/>
                <w:color w:val="000000"/>
                <w:sz w:val="18"/>
                <w:szCs w:val="18"/>
              </w:rPr>
              <w:t>0</w:t>
            </w:r>
            <w:r>
              <w:rPr>
                <w:color w:val="000000"/>
                <w:sz w:val="18"/>
                <w:szCs w:val="18"/>
              </w:rPr>
              <w:t>%)</w:t>
            </w:r>
          </w:p>
        </w:tc>
        <w:tc>
          <w:tcPr>
            <w:tcW w:w="2834" w:type="dxa"/>
            <w:shd w:val="clear" w:color="auto" w:fill="FFFFFF" w:themeFill="background1"/>
            <w:tcMar>
              <w:top w:w="180" w:type="dxa"/>
              <w:left w:w="240" w:type="dxa"/>
              <w:bottom w:w="180" w:type="dxa"/>
              <w:right w:w="240" w:type="dxa"/>
            </w:tcMar>
            <w:vAlign w:val="center"/>
          </w:tcPr>
          <w:p w14:paraId="710F7A26">
            <w:pPr>
              <w:adjustRightInd w:val="0"/>
              <w:snapToGrid w:val="0"/>
              <w:jc w:val="center"/>
              <w:rPr>
                <w:color w:val="000000"/>
                <w:sz w:val="18"/>
                <w:szCs w:val="18"/>
              </w:rPr>
            </w:pPr>
            <w:r>
              <w:rPr>
                <w:color w:val="000000"/>
                <w:sz w:val="18"/>
                <w:szCs w:val="18"/>
              </w:rPr>
              <w:t>专业师资短缺场景</w:t>
            </w:r>
          </w:p>
          <w:p w14:paraId="79CDE4C2">
            <w:pPr>
              <w:adjustRightInd w:val="0"/>
              <w:snapToGrid w:val="0"/>
              <w:jc w:val="center"/>
              <w:rPr>
                <w:color w:val="000000"/>
                <w:sz w:val="18"/>
                <w:szCs w:val="18"/>
              </w:rPr>
            </w:pPr>
            <w:r>
              <w:rPr>
                <w:color w:val="000000"/>
                <w:sz w:val="18"/>
                <w:szCs w:val="18"/>
              </w:rPr>
              <w:t>(乡村应用率60.9</w:t>
            </w:r>
            <w:r>
              <w:rPr>
                <w:rFonts w:hint="eastAsia"/>
                <w:color w:val="000000"/>
                <w:sz w:val="18"/>
                <w:szCs w:val="18"/>
              </w:rPr>
              <w:t>0</w:t>
            </w:r>
            <w:r>
              <w:rPr>
                <w:color w:val="000000"/>
                <w:sz w:val="18"/>
                <w:szCs w:val="18"/>
              </w:rPr>
              <w:t>%)</w:t>
            </w:r>
          </w:p>
        </w:tc>
        <w:tc>
          <w:tcPr>
            <w:tcW w:w="2126" w:type="dxa"/>
            <w:shd w:val="clear" w:color="auto" w:fill="FFFFFF" w:themeFill="background1"/>
            <w:tcMar>
              <w:top w:w="180" w:type="dxa"/>
              <w:left w:w="240" w:type="dxa"/>
              <w:bottom w:w="180" w:type="dxa"/>
              <w:right w:w="240" w:type="dxa"/>
            </w:tcMar>
            <w:vAlign w:val="center"/>
          </w:tcPr>
          <w:p w14:paraId="6ACDE87A">
            <w:pPr>
              <w:adjustRightInd w:val="0"/>
              <w:snapToGrid w:val="0"/>
              <w:jc w:val="center"/>
              <w:rPr>
                <w:color w:val="000000"/>
                <w:sz w:val="18"/>
                <w:szCs w:val="18"/>
              </w:rPr>
            </w:pPr>
            <w:r>
              <w:rPr>
                <w:color w:val="000000"/>
                <w:sz w:val="18"/>
                <w:szCs w:val="18"/>
              </w:rPr>
              <w:t>项目式/探究式学习(小学高段及以上为主)</w:t>
            </w:r>
          </w:p>
        </w:tc>
      </w:tr>
      <w:tr w14:paraId="7AB5C5EB">
        <w:tblPrEx>
          <w:tblBorders>
            <w:top w:val="single" w:color="000000" w:sz="4" w:space="0"/>
            <w:left w:val="none" w:color="auto" w:sz="0" w:space="0"/>
            <w:bottom w:val="single" w:color="000000" w:sz="4" w:space="0"/>
            <w:right w:val="none" w:color="auto" w:sz="0" w:space="0"/>
            <w:insideH w:val="single" w:color="000000" w:sz="4" w:space="0"/>
            <w:insideV w:val="single" w:color="000000" w:sz="4" w:space="0"/>
          </w:tblBorders>
          <w:tblCellMar>
            <w:top w:w="0" w:type="dxa"/>
            <w:left w:w="0" w:type="dxa"/>
            <w:bottom w:w="0" w:type="dxa"/>
            <w:right w:w="0" w:type="dxa"/>
          </w:tblCellMar>
        </w:tblPrEx>
        <w:trPr>
          <w:cantSplit/>
          <w:jc w:val="center"/>
        </w:trPr>
        <w:tc>
          <w:tcPr>
            <w:tcW w:w="993" w:type="dxa"/>
            <w:shd w:val="clear" w:color="auto" w:fill="FFFFFF" w:themeFill="background1"/>
            <w:tcMar>
              <w:top w:w="180" w:type="dxa"/>
              <w:left w:w="240" w:type="dxa"/>
              <w:bottom w:w="180" w:type="dxa"/>
              <w:right w:w="240" w:type="dxa"/>
            </w:tcMar>
            <w:vAlign w:val="center"/>
          </w:tcPr>
          <w:p w14:paraId="0D3BEED1">
            <w:pPr>
              <w:adjustRightInd w:val="0"/>
              <w:snapToGrid w:val="0"/>
              <w:jc w:val="center"/>
              <w:rPr>
                <w:color w:val="000000"/>
                <w:sz w:val="18"/>
                <w:szCs w:val="18"/>
              </w:rPr>
            </w:pPr>
            <w:r>
              <w:rPr>
                <w:color w:val="000000"/>
                <w:sz w:val="18"/>
                <w:szCs w:val="18"/>
              </w:rPr>
              <w:t>核心优势</w:t>
            </w:r>
          </w:p>
        </w:tc>
        <w:tc>
          <w:tcPr>
            <w:tcW w:w="2552" w:type="dxa"/>
            <w:shd w:val="clear" w:color="auto" w:fill="FFFFFF" w:themeFill="background1"/>
            <w:tcMar>
              <w:top w:w="180" w:type="dxa"/>
              <w:left w:w="240" w:type="dxa"/>
              <w:bottom w:w="180" w:type="dxa"/>
              <w:right w:w="240" w:type="dxa"/>
            </w:tcMar>
            <w:vAlign w:val="center"/>
          </w:tcPr>
          <w:p w14:paraId="4F457BB3">
            <w:pPr>
              <w:adjustRightInd w:val="0"/>
              <w:snapToGrid w:val="0"/>
              <w:jc w:val="center"/>
              <w:rPr>
                <w:color w:val="000000"/>
                <w:sz w:val="18"/>
                <w:szCs w:val="18"/>
              </w:rPr>
            </w:pPr>
            <w:r>
              <w:rPr>
                <w:color w:val="000000"/>
                <w:sz w:val="18"/>
                <w:szCs w:val="18"/>
              </w:rPr>
              <w:t>实现教学闭环管理</w:t>
            </w:r>
          </w:p>
          <w:p w14:paraId="37A76F93">
            <w:pPr>
              <w:adjustRightInd w:val="0"/>
              <w:snapToGrid w:val="0"/>
              <w:jc w:val="center"/>
              <w:rPr>
                <w:color w:val="000000"/>
                <w:sz w:val="18"/>
                <w:szCs w:val="18"/>
              </w:rPr>
            </w:pPr>
            <w:r>
              <w:rPr>
                <w:color w:val="000000"/>
                <w:sz w:val="18"/>
                <w:szCs w:val="18"/>
              </w:rPr>
              <w:t>资源-工具-数据三重衔接</w:t>
            </w:r>
          </w:p>
        </w:tc>
        <w:tc>
          <w:tcPr>
            <w:tcW w:w="2834" w:type="dxa"/>
            <w:shd w:val="clear" w:color="auto" w:fill="FFFFFF" w:themeFill="background1"/>
            <w:tcMar>
              <w:top w:w="180" w:type="dxa"/>
              <w:left w:w="240" w:type="dxa"/>
              <w:bottom w:w="180" w:type="dxa"/>
              <w:right w:w="240" w:type="dxa"/>
            </w:tcMar>
            <w:vAlign w:val="center"/>
          </w:tcPr>
          <w:p w14:paraId="2D70234F">
            <w:pPr>
              <w:adjustRightInd w:val="0"/>
              <w:snapToGrid w:val="0"/>
              <w:jc w:val="center"/>
              <w:rPr>
                <w:color w:val="000000"/>
                <w:sz w:val="18"/>
                <w:szCs w:val="18"/>
              </w:rPr>
            </w:pPr>
            <w:r>
              <w:rPr>
                <w:color w:val="000000"/>
                <w:sz w:val="18"/>
                <w:szCs w:val="18"/>
              </w:rPr>
              <w:t>突破地域师资限制</w:t>
            </w:r>
          </w:p>
          <w:p w14:paraId="42075D6C">
            <w:pPr>
              <w:adjustRightInd w:val="0"/>
              <w:snapToGrid w:val="0"/>
              <w:jc w:val="center"/>
              <w:rPr>
                <w:color w:val="000000"/>
                <w:sz w:val="18"/>
                <w:szCs w:val="18"/>
              </w:rPr>
            </w:pPr>
            <w:r>
              <w:rPr>
                <w:rFonts w:hint="eastAsia"/>
                <w:color w:val="000000"/>
                <w:sz w:val="18"/>
                <w:szCs w:val="18"/>
              </w:rPr>
              <w:t>名师</w:t>
            </w:r>
            <w:r>
              <w:rPr>
                <w:color w:val="000000"/>
                <w:sz w:val="18"/>
                <w:szCs w:val="18"/>
              </w:rPr>
              <w:t>示范+个性化辅导结合</w:t>
            </w:r>
          </w:p>
        </w:tc>
        <w:tc>
          <w:tcPr>
            <w:tcW w:w="2126" w:type="dxa"/>
            <w:shd w:val="clear" w:color="auto" w:fill="FFFFFF" w:themeFill="background1"/>
            <w:tcMar>
              <w:top w:w="180" w:type="dxa"/>
              <w:left w:w="240" w:type="dxa"/>
              <w:bottom w:w="180" w:type="dxa"/>
              <w:right w:w="240" w:type="dxa"/>
            </w:tcMar>
            <w:vAlign w:val="center"/>
          </w:tcPr>
          <w:p w14:paraId="2F97DC44">
            <w:pPr>
              <w:adjustRightInd w:val="0"/>
              <w:snapToGrid w:val="0"/>
              <w:jc w:val="center"/>
              <w:rPr>
                <w:color w:val="000000"/>
                <w:sz w:val="18"/>
                <w:szCs w:val="18"/>
              </w:rPr>
            </w:pPr>
            <w:r>
              <w:rPr>
                <w:color w:val="000000"/>
                <w:sz w:val="18"/>
                <w:szCs w:val="18"/>
              </w:rPr>
              <w:t>支持个性化学习路径</w:t>
            </w:r>
          </w:p>
          <w:p w14:paraId="6FE9E2FC">
            <w:pPr>
              <w:adjustRightInd w:val="0"/>
              <w:snapToGrid w:val="0"/>
              <w:jc w:val="center"/>
              <w:rPr>
                <w:color w:val="000000"/>
                <w:sz w:val="18"/>
                <w:szCs w:val="18"/>
              </w:rPr>
            </w:pPr>
            <w:r>
              <w:rPr>
                <w:color w:val="000000"/>
                <w:sz w:val="18"/>
                <w:szCs w:val="18"/>
              </w:rPr>
              <w:t>过程全留痕可追溯</w:t>
            </w:r>
          </w:p>
        </w:tc>
      </w:tr>
      <w:tr w14:paraId="19F94B28">
        <w:tblPrEx>
          <w:tblBorders>
            <w:top w:val="single" w:color="000000" w:sz="4" w:space="0"/>
            <w:left w:val="none" w:color="auto" w:sz="0" w:space="0"/>
            <w:bottom w:val="single" w:color="000000" w:sz="4" w:space="0"/>
            <w:right w:val="none" w:color="auto" w:sz="0" w:space="0"/>
            <w:insideH w:val="single" w:color="000000" w:sz="4" w:space="0"/>
            <w:insideV w:val="single" w:color="000000" w:sz="4" w:space="0"/>
          </w:tblBorders>
          <w:tblCellMar>
            <w:top w:w="0" w:type="dxa"/>
            <w:left w:w="0" w:type="dxa"/>
            <w:bottom w:w="0" w:type="dxa"/>
            <w:right w:w="0" w:type="dxa"/>
          </w:tblCellMar>
        </w:tblPrEx>
        <w:trPr>
          <w:cantSplit/>
          <w:jc w:val="center"/>
        </w:trPr>
        <w:tc>
          <w:tcPr>
            <w:tcW w:w="993" w:type="dxa"/>
            <w:shd w:val="clear" w:color="auto" w:fill="FFFFFF" w:themeFill="background1"/>
            <w:tcMar>
              <w:top w:w="180" w:type="dxa"/>
              <w:left w:w="240" w:type="dxa"/>
              <w:bottom w:w="180" w:type="dxa"/>
              <w:right w:w="240" w:type="dxa"/>
            </w:tcMar>
            <w:vAlign w:val="center"/>
          </w:tcPr>
          <w:p w14:paraId="2A76C9A0">
            <w:pPr>
              <w:adjustRightInd w:val="0"/>
              <w:snapToGrid w:val="0"/>
              <w:jc w:val="center"/>
              <w:rPr>
                <w:color w:val="000000"/>
                <w:sz w:val="18"/>
                <w:szCs w:val="18"/>
              </w:rPr>
            </w:pPr>
            <w:r>
              <w:rPr>
                <w:color w:val="000000"/>
                <w:sz w:val="18"/>
                <w:szCs w:val="18"/>
              </w:rPr>
              <w:t>主要局限</w:t>
            </w:r>
          </w:p>
        </w:tc>
        <w:tc>
          <w:tcPr>
            <w:tcW w:w="2552" w:type="dxa"/>
            <w:shd w:val="clear" w:color="auto" w:fill="FFFFFF" w:themeFill="background1"/>
            <w:tcMar>
              <w:top w:w="180" w:type="dxa"/>
              <w:left w:w="240" w:type="dxa"/>
              <w:bottom w:w="180" w:type="dxa"/>
              <w:right w:w="240" w:type="dxa"/>
            </w:tcMar>
            <w:vAlign w:val="center"/>
          </w:tcPr>
          <w:p w14:paraId="2A21BF57">
            <w:pPr>
              <w:adjustRightInd w:val="0"/>
              <w:snapToGrid w:val="0"/>
              <w:jc w:val="center"/>
              <w:rPr>
                <w:color w:val="000000"/>
                <w:sz w:val="18"/>
                <w:szCs w:val="18"/>
              </w:rPr>
            </w:pPr>
            <w:r>
              <w:rPr>
                <w:color w:val="000000"/>
                <w:sz w:val="18"/>
                <w:szCs w:val="18"/>
              </w:rPr>
              <w:t>依赖教师技术整合能力</w:t>
            </w:r>
          </w:p>
        </w:tc>
        <w:tc>
          <w:tcPr>
            <w:tcW w:w="2834" w:type="dxa"/>
            <w:shd w:val="clear" w:color="auto" w:fill="FFFFFF" w:themeFill="background1"/>
            <w:tcMar>
              <w:top w:w="180" w:type="dxa"/>
              <w:left w:w="240" w:type="dxa"/>
              <w:bottom w:w="180" w:type="dxa"/>
              <w:right w:w="240" w:type="dxa"/>
            </w:tcMar>
            <w:vAlign w:val="center"/>
          </w:tcPr>
          <w:p w14:paraId="6BB639A1">
            <w:pPr>
              <w:adjustRightInd w:val="0"/>
              <w:snapToGrid w:val="0"/>
              <w:jc w:val="center"/>
              <w:rPr>
                <w:color w:val="000000"/>
                <w:sz w:val="18"/>
                <w:szCs w:val="18"/>
              </w:rPr>
            </w:pPr>
            <w:r>
              <w:rPr>
                <w:color w:val="000000"/>
                <w:sz w:val="18"/>
                <w:szCs w:val="18"/>
              </w:rPr>
              <w:t>线下教师互动设计能力不足</w:t>
            </w:r>
          </w:p>
        </w:tc>
        <w:tc>
          <w:tcPr>
            <w:tcW w:w="2126" w:type="dxa"/>
            <w:shd w:val="clear" w:color="auto" w:fill="FFFFFF" w:themeFill="background1"/>
            <w:tcMar>
              <w:top w:w="180" w:type="dxa"/>
              <w:left w:w="240" w:type="dxa"/>
              <w:bottom w:w="180" w:type="dxa"/>
              <w:right w:w="240" w:type="dxa"/>
            </w:tcMar>
            <w:vAlign w:val="center"/>
          </w:tcPr>
          <w:p w14:paraId="48CDCB33">
            <w:pPr>
              <w:adjustRightInd w:val="0"/>
              <w:snapToGrid w:val="0"/>
              <w:jc w:val="center"/>
              <w:rPr>
                <w:color w:val="000000"/>
                <w:sz w:val="18"/>
                <w:szCs w:val="18"/>
              </w:rPr>
            </w:pPr>
            <w:r>
              <w:rPr>
                <w:color w:val="000000"/>
                <w:sz w:val="18"/>
                <w:szCs w:val="18"/>
              </w:rPr>
              <w:t>教师数据解读能力要求高</w:t>
            </w:r>
          </w:p>
        </w:tc>
      </w:tr>
    </w:tbl>
    <w:p w14:paraId="0BC4F907">
      <w:pPr>
        <w:adjustRightInd w:val="0"/>
        <w:snapToGrid w:val="0"/>
        <w:ind w:firstLine="420" w:firstLineChars="200"/>
        <w:rPr>
          <w:szCs w:val="21"/>
        </w:rPr>
      </w:pPr>
      <w:r>
        <w:rPr>
          <w:rFonts w:hint="eastAsia"/>
          <w:szCs w:val="21"/>
        </w:rPr>
        <w:t>……</w:t>
      </w:r>
    </w:p>
    <w:p w14:paraId="1E923D90">
      <w:pPr>
        <w:ind w:firstLine="360"/>
        <w:rPr>
          <w:rFonts w:hint="eastAsia" w:ascii="宋体" w:hAnsi="宋体" w:cs="宋体"/>
          <w:sz w:val="18"/>
          <w:szCs w:val="18"/>
        </w:rPr>
      </w:pPr>
    </w:p>
    <w:p w14:paraId="6B5083BE">
      <w:pPr>
        <w:ind w:firstLine="360"/>
        <w:rPr>
          <w:rFonts w:hint="eastAsia" w:ascii="宋体" w:hAnsi="宋体" w:cs="宋体"/>
          <w:sz w:val="18"/>
          <w:szCs w:val="18"/>
        </w:rPr>
      </w:pPr>
    </w:p>
    <w:p w14:paraId="0ADB0657">
      <w:pPr>
        <w:ind w:firstLine="360"/>
        <w:rPr>
          <w:rFonts w:hint="eastAsia" w:ascii="宋体" w:hAnsi="宋体" w:cs="宋体"/>
          <w:sz w:val="18"/>
          <w:szCs w:val="18"/>
        </w:rPr>
      </w:pPr>
      <w:r>
        <w:rPr>
          <w:rFonts w:hint="eastAsia" w:ascii="黑体" w:hAnsi="黑体" w:eastAsia="黑体" w:cs="黑体"/>
          <w:sz w:val="18"/>
          <w:szCs w:val="18"/>
        </w:rPr>
        <w:t>表格编号和标题</w:t>
      </w:r>
      <w:r>
        <w:rPr>
          <w:rFonts w:hint="eastAsia" w:ascii="宋体" w:hAnsi="宋体" w:cs="宋体"/>
          <w:sz w:val="18"/>
          <w:szCs w:val="18"/>
        </w:rPr>
        <w:t>(黑体，小五号，标题位于表格上面居中，如“</w:t>
      </w:r>
      <w:r>
        <w:rPr>
          <w:rFonts w:hint="eastAsia" w:ascii="黑体" w:hAnsi="黑体" w:eastAsia="黑体" w:cs="黑体"/>
          <w:sz w:val="18"/>
          <w:szCs w:val="18"/>
        </w:rPr>
        <w:t>表1  XXXX</w:t>
      </w:r>
      <w:r>
        <w:rPr>
          <w:rFonts w:hint="eastAsia" w:ascii="宋体" w:hAnsi="宋体" w:cs="宋体"/>
          <w:sz w:val="18"/>
          <w:szCs w:val="18"/>
        </w:rPr>
        <w:t>”)</w:t>
      </w:r>
    </w:p>
    <w:p w14:paraId="0F8EE3E4">
      <w:pPr>
        <w:ind w:firstLine="360"/>
        <w:rPr>
          <w:rFonts w:hint="eastAsia" w:ascii="宋体" w:hAnsi="宋体" w:cs="宋体"/>
          <w:sz w:val="18"/>
          <w:szCs w:val="18"/>
        </w:rPr>
      </w:pPr>
      <w:r>
        <w:rPr>
          <w:rFonts w:hint="eastAsia" w:ascii="宋体" w:hAnsi="宋体" w:cs="宋体"/>
          <w:sz w:val="18"/>
          <w:szCs w:val="18"/>
        </w:rPr>
        <w:t>表格内容（宋体，小五号）</w:t>
      </w:r>
    </w:p>
    <w:p w14:paraId="77C962B7">
      <w:pPr>
        <w:ind w:firstLine="360"/>
        <w:rPr>
          <w:rFonts w:hint="eastAsia" w:ascii="宋体" w:hAnsi="宋体" w:cs="宋体"/>
          <w:sz w:val="18"/>
          <w:szCs w:val="18"/>
        </w:rPr>
      </w:pPr>
      <w:r>
        <w:rPr>
          <w:rFonts w:hint="eastAsia" w:ascii="宋体" w:hAnsi="宋体" w:cs="宋体"/>
          <w:sz w:val="18"/>
          <w:szCs w:val="18"/>
        </w:rPr>
        <w:t>表格宜紧置于首次提及该表编号的正文之后，先见文字后见表，以“如表××所示”等词引导。表注置于表格下方，左空一格，标上“注：”，末尾加“。”。</w:t>
      </w:r>
    </w:p>
    <w:p w14:paraId="03DCEBDD">
      <w:pPr>
        <w:ind w:firstLine="360"/>
        <w:rPr>
          <w:rFonts w:hint="eastAsia" w:ascii="宋体" w:hAnsi="宋体" w:cs="宋体"/>
          <w:sz w:val="18"/>
          <w:szCs w:val="18"/>
        </w:rPr>
      </w:pPr>
      <w:r>
        <w:rPr>
          <w:rFonts w:hint="eastAsia" w:ascii="宋体" w:hAnsi="宋体" w:cs="宋体"/>
          <w:sz w:val="18"/>
          <w:szCs w:val="18"/>
        </w:rPr>
        <w:t>......</w:t>
      </w:r>
    </w:p>
    <w:p w14:paraId="4D51279F">
      <w:pPr>
        <w:rPr>
          <w:rFonts w:hint="eastAsia" w:ascii="宋体" w:hAnsi="宋体" w:cs="宋体"/>
          <w:sz w:val="18"/>
          <w:szCs w:val="18"/>
        </w:rPr>
      </w:pPr>
    </w:p>
    <w:p w14:paraId="3D69CA4A">
      <w:pPr>
        <w:rPr>
          <w:rFonts w:hint="eastAsia" w:ascii="宋体" w:hAnsi="宋体" w:cs="宋体"/>
          <w:sz w:val="18"/>
          <w:szCs w:val="18"/>
        </w:rPr>
      </w:pPr>
    </w:p>
    <w:p w14:paraId="1E825652">
      <w:pPr>
        <w:ind w:firstLine="360"/>
        <w:rPr>
          <w:rFonts w:hint="eastAsia" w:ascii="宋体" w:hAnsi="宋体" w:cs="宋体"/>
          <w:b/>
          <w:bCs/>
          <w:sz w:val="18"/>
          <w:szCs w:val="18"/>
        </w:rPr>
      </w:pPr>
      <w:r>
        <w:rPr>
          <w:rFonts w:hint="eastAsia" w:ascii="宋体" w:hAnsi="宋体" w:cs="宋体"/>
          <w:b/>
          <w:bCs/>
          <w:sz w:val="18"/>
          <w:szCs w:val="18"/>
        </w:rPr>
        <w:t>注释。(</w:t>
      </w:r>
      <w:r>
        <w:rPr>
          <w:rFonts w:hint="eastAsia" w:ascii="宋体" w:hAnsi="宋体" w:cs="宋体"/>
          <w:sz w:val="18"/>
          <w:szCs w:val="18"/>
        </w:rPr>
        <w:t>楷体，小五号，脚注形式。</w:t>
      </w:r>
      <w:r>
        <w:rPr>
          <w:rFonts w:hint="eastAsia" w:ascii="宋体" w:hAnsi="宋体" w:cs="宋体"/>
          <w:b/>
          <w:bCs/>
          <w:sz w:val="18"/>
          <w:szCs w:val="18"/>
        </w:rPr>
        <w:t>)</w:t>
      </w:r>
    </w:p>
    <w:p w14:paraId="09364EAD">
      <w:pPr>
        <w:ind w:firstLine="360"/>
        <w:rPr>
          <w:rFonts w:hint="eastAsia" w:ascii="宋体" w:hAnsi="宋体" w:cs="宋体"/>
          <w:sz w:val="18"/>
          <w:szCs w:val="18"/>
        </w:rPr>
      </w:pPr>
      <w:r>
        <w:rPr>
          <w:rFonts w:hint="eastAsia" w:ascii="宋体" w:hAnsi="宋体" w:cs="宋体"/>
          <w:sz w:val="18"/>
          <w:szCs w:val="18"/>
        </w:rPr>
        <w:t>除图注、表注及参考文献的地脚注外，论文中的文字内容需要加以说明又不适于作正文来叙述时可采用注释。注释的标注应符合 CY/T 121 的规定。对文章题目的注释使用*标注，对文中内容的注释使用</w:t>
      </w:r>
      <w:r>
        <w:rPr>
          <w:rFonts w:hint="eastAsia" w:ascii="宋体" w:hAnsi="宋体" w:cs="宋体"/>
          <w:sz w:val="18"/>
          <w:szCs w:val="18"/>
        </w:rPr>
        <w:fldChar w:fldCharType="begin"/>
      </w:r>
      <w:r>
        <w:rPr>
          <w:rFonts w:hint="eastAsia" w:ascii="宋体" w:hAnsi="宋体" w:cs="宋体"/>
          <w:sz w:val="18"/>
          <w:szCs w:val="18"/>
        </w:rPr>
        <w:instrText xml:space="preserve"> = 1 \* GB3 </w:instrText>
      </w:r>
      <w:r>
        <w:rPr>
          <w:rFonts w:hint="eastAsia" w:ascii="宋体" w:hAnsi="宋体" w:cs="宋体"/>
          <w:sz w:val="18"/>
          <w:szCs w:val="18"/>
        </w:rPr>
        <w:fldChar w:fldCharType="separate"/>
      </w:r>
      <w:r>
        <w:rPr>
          <w:rFonts w:hint="eastAsia" w:ascii="宋体" w:hAnsi="宋体" w:cs="宋体"/>
          <w:sz w:val="18"/>
          <w:szCs w:val="18"/>
        </w:rPr>
        <w:t>①</w:t>
      </w:r>
      <w:r>
        <w:rPr>
          <w:rFonts w:hint="eastAsia" w:ascii="宋体" w:hAnsi="宋体" w:cs="宋体"/>
          <w:sz w:val="18"/>
          <w:szCs w:val="18"/>
        </w:rPr>
        <w:fldChar w:fldCharType="end"/>
      </w:r>
      <w:r>
        <w:rPr>
          <w:rFonts w:hint="eastAsia" w:ascii="宋体" w:hAnsi="宋体" w:cs="宋体"/>
          <w:sz w:val="18"/>
          <w:szCs w:val="18"/>
        </w:rPr>
        <w:fldChar w:fldCharType="begin"/>
      </w:r>
      <w:r>
        <w:rPr>
          <w:rFonts w:hint="eastAsia" w:ascii="宋体" w:hAnsi="宋体" w:cs="宋体"/>
          <w:sz w:val="18"/>
          <w:szCs w:val="18"/>
        </w:rPr>
        <w:instrText xml:space="preserve"> = 2 \* GB3 </w:instrText>
      </w:r>
      <w:r>
        <w:rPr>
          <w:rFonts w:hint="eastAsia" w:ascii="宋体" w:hAnsi="宋体" w:cs="宋体"/>
          <w:sz w:val="18"/>
          <w:szCs w:val="18"/>
        </w:rPr>
        <w:fldChar w:fldCharType="separate"/>
      </w:r>
      <w:r>
        <w:rPr>
          <w:rFonts w:hint="eastAsia" w:ascii="宋体" w:hAnsi="宋体" w:cs="宋体"/>
          <w:sz w:val="18"/>
          <w:szCs w:val="18"/>
        </w:rPr>
        <w:t>②</w:t>
      </w:r>
      <w:r>
        <w:rPr>
          <w:rFonts w:hint="eastAsia" w:ascii="宋体" w:hAnsi="宋体" w:cs="宋体"/>
          <w:sz w:val="18"/>
          <w:szCs w:val="18"/>
        </w:rPr>
        <w:fldChar w:fldCharType="end"/>
      </w:r>
      <w:r>
        <w:rPr>
          <w:rFonts w:hint="eastAsia" w:ascii="宋体" w:hAnsi="宋体" w:cs="宋体"/>
          <w:sz w:val="18"/>
          <w:szCs w:val="18"/>
        </w:rPr>
        <w:fldChar w:fldCharType="begin"/>
      </w:r>
      <w:r>
        <w:rPr>
          <w:rFonts w:hint="eastAsia" w:ascii="宋体" w:hAnsi="宋体" w:cs="宋体"/>
          <w:sz w:val="18"/>
          <w:szCs w:val="18"/>
        </w:rPr>
        <w:instrText xml:space="preserve"> = 3 \* GB3 </w:instrText>
      </w:r>
      <w:r>
        <w:rPr>
          <w:rFonts w:hint="eastAsia" w:ascii="宋体" w:hAnsi="宋体" w:cs="宋体"/>
          <w:sz w:val="18"/>
          <w:szCs w:val="18"/>
        </w:rPr>
        <w:fldChar w:fldCharType="separate"/>
      </w:r>
      <w:r>
        <w:rPr>
          <w:rFonts w:hint="eastAsia" w:ascii="宋体" w:hAnsi="宋体" w:cs="宋体"/>
          <w:sz w:val="18"/>
          <w:szCs w:val="18"/>
        </w:rPr>
        <w:t>③</w:t>
      </w:r>
      <w:r>
        <w:rPr>
          <w:rFonts w:hint="eastAsia" w:ascii="宋体" w:hAnsi="宋体" w:cs="宋体"/>
          <w:sz w:val="18"/>
          <w:szCs w:val="18"/>
        </w:rPr>
        <w:fldChar w:fldCharType="end"/>
      </w:r>
      <w:r>
        <w:rPr>
          <w:rFonts w:hint="eastAsia" w:ascii="宋体" w:hAnsi="宋体" w:cs="宋体"/>
          <w:sz w:val="18"/>
          <w:szCs w:val="18"/>
        </w:rPr>
        <w:t>标注，每页独立编号。</w:t>
      </w:r>
    </w:p>
    <w:p w14:paraId="0374EFE2">
      <w:pPr>
        <w:rPr>
          <w:rFonts w:hint="eastAsia" w:ascii="宋体" w:hAnsi="宋体" w:cs="宋体"/>
          <w:sz w:val="18"/>
          <w:szCs w:val="18"/>
        </w:rPr>
      </w:pPr>
    </w:p>
    <w:p w14:paraId="38236AF2">
      <w:pPr>
        <w:rPr>
          <w:rFonts w:hint="eastAsia" w:ascii="宋体" w:hAnsi="宋体" w:cs="宋体"/>
          <w:sz w:val="18"/>
          <w:szCs w:val="18"/>
        </w:rPr>
      </w:pPr>
    </w:p>
    <w:p w14:paraId="41CAA872">
      <w:pPr>
        <w:rPr>
          <w:rFonts w:hint="eastAsia" w:ascii="宋体" w:hAnsi="宋体" w:cs="宋体"/>
          <w:b/>
          <w:bCs/>
          <w:sz w:val="18"/>
          <w:szCs w:val="18"/>
        </w:rPr>
      </w:pPr>
      <w:r>
        <w:rPr>
          <w:rFonts w:hint="eastAsia" w:ascii="宋体" w:hAnsi="宋体" w:cs="宋体"/>
          <w:b/>
          <w:bCs/>
          <w:sz w:val="18"/>
          <w:szCs w:val="18"/>
        </w:rPr>
        <w:t>参考文献（宋体，加黑，小五号，左对齐）：</w:t>
      </w:r>
    </w:p>
    <w:p w14:paraId="16ACF1C9">
      <w:pPr>
        <w:rPr>
          <w:rFonts w:hint="eastAsia" w:ascii="宋体" w:hAnsi="宋体" w:cs="宋体"/>
          <w:b/>
          <w:bCs/>
          <w:sz w:val="18"/>
          <w:szCs w:val="18"/>
        </w:rPr>
      </w:pPr>
      <w:r>
        <w:rPr>
          <w:rFonts w:hint="eastAsia" w:ascii="宋体" w:hAnsi="宋体" w:cs="宋体"/>
          <w:b/>
          <w:bCs/>
          <w:sz w:val="18"/>
          <w:szCs w:val="18"/>
        </w:rPr>
        <w:t>(参考文献的著录项目、著录符号、著录格式以及参考文献在正文中的标注法，应符合 GB/T 7714的规定。所有参考文献必须核实正确，且需要与文中引和引用内容对应，我社将根据需要请作者提供参考文献相关材料。参考文献中的符号用英文状态下的符号)</w:t>
      </w:r>
    </w:p>
    <w:p w14:paraId="03C473BB">
      <w:pPr>
        <w:rPr>
          <w:rFonts w:hint="eastAsia" w:ascii="宋体" w:hAnsi="宋体" w:cs="宋体"/>
          <w:sz w:val="18"/>
          <w:szCs w:val="18"/>
        </w:rPr>
      </w:pPr>
      <w:r>
        <w:rPr>
          <w:rFonts w:ascii="宋体" w:hAnsi="宋体" w:cs="宋体"/>
          <w:sz w:val="18"/>
          <w:szCs w:val="18"/>
        </w:rPr>
        <w:t>各类文献的著录格式如下：</w:t>
      </w:r>
    </w:p>
    <w:p w14:paraId="229879E5">
      <w:pPr>
        <w:rPr>
          <w:rFonts w:hint="eastAsia" w:ascii="宋体" w:hAnsi="宋体" w:cs="宋体"/>
          <w:b/>
          <w:bCs/>
          <w:sz w:val="18"/>
          <w:szCs w:val="18"/>
        </w:rPr>
      </w:pPr>
      <w:r>
        <w:rPr>
          <w:rFonts w:hint="eastAsia" w:ascii="宋体" w:hAnsi="宋体" w:cs="宋体"/>
          <w:b/>
          <w:bCs/>
          <w:sz w:val="18"/>
          <w:szCs w:val="18"/>
        </w:rPr>
        <w:t>1.</w:t>
      </w:r>
      <w:r>
        <w:rPr>
          <w:rFonts w:ascii="宋体" w:hAnsi="宋体" w:cs="宋体"/>
          <w:b/>
          <w:bCs/>
          <w:sz w:val="18"/>
          <w:szCs w:val="18"/>
        </w:rPr>
        <w:t>专著、论文集、学位报告、报告  [M]  [C]  [D]  [R]</w:t>
      </w:r>
    </w:p>
    <w:p w14:paraId="4E88F911">
      <w:pPr>
        <w:rPr>
          <w:rFonts w:hint="eastAsia" w:ascii="宋体" w:hAnsi="宋体" w:cs="宋体"/>
          <w:sz w:val="18"/>
          <w:szCs w:val="18"/>
        </w:rPr>
      </w:pPr>
      <w:r>
        <w:rPr>
          <w:rFonts w:ascii="宋体" w:hAnsi="宋体" w:cs="宋体"/>
          <w:sz w:val="18"/>
          <w:szCs w:val="18"/>
        </w:rPr>
        <w:t>[序号] 主要责任者.文献题名[文献类型标识].出版地</w:t>
      </w:r>
      <w:r>
        <w:rPr>
          <w:rFonts w:hint="eastAsia" w:ascii="宋体" w:hAnsi="宋体" w:cs="宋体"/>
          <w:sz w:val="18"/>
          <w:szCs w:val="18"/>
        </w:rPr>
        <w:t>:</w:t>
      </w:r>
      <w:r>
        <w:rPr>
          <w:rFonts w:ascii="宋体" w:hAnsi="宋体" w:cs="宋体"/>
          <w:sz w:val="18"/>
          <w:szCs w:val="18"/>
        </w:rPr>
        <w:t>出版者</w:t>
      </w:r>
      <w:r>
        <w:rPr>
          <w:rFonts w:hint="eastAsia" w:ascii="宋体" w:hAnsi="宋体" w:cs="宋体"/>
          <w:sz w:val="18"/>
          <w:szCs w:val="18"/>
        </w:rPr>
        <w:t>,</w:t>
      </w:r>
      <w:r>
        <w:rPr>
          <w:rFonts w:ascii="宋体" w:hAnsi="宋体" w:cs="宋体"/>
          <w:sz w:val="18"/>
          <w:szCs w:val="18"/>
        </w:rPr>
        <w:t>出版年.起止页码(任选).</w:t>
      </w:r>
    </w:p>
    <w:p w14:paraId="77C7E7D3">
      <w:pPr>
        <w:rPr>
          <w:rFonts w:hint="eastAsia" w:ascii="宋体" w:hAnsi="宋体" w:cs="宋体"/>
          <w:sz w:val="18"/>
          <w:szCs w:val="18"/>
        </w:rPr>
      </w:pPr>
      <w:r>
        <w:rPr>
          <w:rFonts w:ascii="宋体" w:hAnsi="宋体" w:cs="宋体"/>
          <w:sz w:val="18"/>
          <w:szCs w:val="18"/>
        </w:rPr>
        <w:t>例如：</w:t>
      </w:r>
    </w:p>
    <w:p w14:paraId="4B158403">
      <w:pPr>
        <w:rPr>
          <w:rFonts w:hint="eastAsia" w:ascii="宋体" w:hAnsi="宋体" w:cs="宋体"/>
          <w:sz w:val="18"/>
          <w:szCs w:val="18"/>
        </w:rPr>
      </w:pPr>
      <w:r>
        <w:rPr>
          <w:rFonts w:ascii="宋体" w:hAnsi="宋体" w:cs="宋体"/>
          <w:sz w:val="18"/>
          <w:szCs w:val="18"/>
        </w:rPr>
        <w:t>[1] 乌美娜.教学设计[M].北京</w:t>
      </w:r>
      <w:r>
        <w:rPr>
          <w:rFonts w:hint="eastAsia" w:ascii="宋体" w:hAnsi="宋体" w:cs="宋体"/>
          <w:sz w:val="18"/>
          <w:szCs w:val="18"/>
        </w:rPr>
        <w:t>:</w:t>
      </w:r>
      <w:r>
        <w:rPr>
          <w:rFonts w:ascii="宋体" w:hAnsi="宋体" w:cs="宋体"/>
          <w:sz w:val="18"/>
          <w:szCs w:val="18"/>
        </w:rPr>
        <w:t>高等教育出版社</w:t>
      </w:r>
      <w:r>
        <w:rPr>
          <w:rFonts w:hint="eastAsia" w:ascii="宋体" w:hAnsi="宋体" w:cs="宋体"/>
          <w:sz w:val="18"/>
          <w:szCs w:val="18"/>
        </w:rPr>
        <w:t>,</w:t>
      </w:r>
      <w:r>
        <w:rPr>
          <w:rFonts w:ascii="宋体" w:hAnsi="宋体" w:cs="宋体"/>
          <w:sz w:val="18"/>
          <w:szCs w:val="18"/>
        </w:rPr>
        <w:t>1994.</w:t>
      </w:r>
    </w:p>
    <w:p w14:paraId="13763265">
      <w:pPr>
        <w:rPr>
          <w:rFonts w:hint="eastAsia" w:ascii="宋体" w:hAnsi="宋体" w:cs="宋体"/>
          <w:sz w:val="18"/>
          <w:szCs w:val="18"/>
        </w:rPr>
      </w:pPr>
      <w:r>
        <w:rPr>
          <w:rFonts w:ascii="宋体" w:hAnsi="宋体" w:cs="宋体"/>
          <w:sz w:val="18"/>
          <w:szCs w:val="18"/>
        </w:rPr>
        <w:t>[2] 辛希孟.信息技术与信息服务国际研讨会论文集：A集[C].北京</w:t>
      </w:r>
      <w:r>
        <w:rPr>
          <w:rFonts w:hint="eastAsia" w:ascii="宋体" w:hAnsi="宋体" w:cs="宋体"/>
          <w:sz w:val="18"/>
          <w:szCs w:val="18"/>
        </w:rPr>
        <w:t>:</w:t>
      </w:r>
      <w:r>
        <w:rPr>
          <w:rFonts w:ascii="宋体" w:hAnsi="宋体" w:cs="宋体"/>
          <w:sz w:val="18"/>
          <w:szCs w:val="18"/>
        </w:rPr>
        <w:t>中国社会科学出版社</w:t>
      </w:r>
      <w:r>
        <w:rPr>
          <w:rFonts w:hint="eastAsia" w:ascii="宋体" w:hAnsi="宋体" w:cs="宋体"/>
          <w:sz w:val="18"/>
          <w:szCs w:val="18"/>
        </w:rPr>
        <w:t>,</w:t>
      </w:r>
      <w:r>
        <w:rPr>
          <w:rFonts w:ascii="宋体" w:hAnsi="宋体" w:cs="宋体"/>
          <w:sz w:val="18"/>
          <w:szCs w:val="18"/>
        </w:rPr>
        <w:t>1994.</w:t>
      </w:r>
    </w:p>
    <w:p w14:paraId="38781539">
      <w:pPr>
        <w:rPr>
          <w:rFonts w:hint="eastAsia" w:ascii="宋体" w:hAnsi="宋体" w:cs="宋体"/>
          <w:sz w:val="18"/>
          <w:szCs w:val="18"/>
        </w:rPr>
      </w:pPr>
      <w:r>
        <w:rPr>
          <w:rFonts w:ascii="宋体" w:hAnsi="宋体" w:cs="宋体"/>
          <w:sz w:val="18"/>
          <w:szCs w:val="18"/>
        </w:rPr>
        <w:t>[3] 张生.微分半动力系统的不变集[D].北京</w:t>
      </w:r>
      <w:r>
        <w:rPr>
          <w:rFonts w:hint="eastAsia" w:ascii="宋体" w:hAnsi="宋体" w:cs="宋体"/>
          <w:sz w:val="18"/>
          <w:szCs w:val="18"/>
        </w:rPr>
        <w:t>:</w:t>
      </w:r>
      <w:r>
        <w:rPr>
          <w:rFonts w:ascii="宋体" w:hAnsi="宋体" w:cs="宋体"/>
          <w:sz w:val="18"/>
          <w:szCs w:val="18"/>
        </w:rPr>
        <w:t>北京大学数学系数学研究所</w:t>
      </w:r>
      <w:r>
        <w:rPr>
          <w:rFonts w:hint="eastAsia" w:ascii="宋体" w:hAnsi="宋体" w:cs="宋体"/>
          <w:sz w:val="18"/>
          <w:szCs w:val="18"/>
        </w:rPr>
        <w:t>,</w:t>
      </w:r>
      <w:r>
        <w:rPr>
          <w:rFonts w:ascii="宋体" w:hAnsi="宋体" w:cs="宋体"/>
          <w:sz w:val="18"/>
          <w:szCs w:val="18"/>
        </w:rPr>
        <w:t>1983.</w:t>
      </w:r>
    </w:p>
    <w:p w14:paraId="71D2FEF3">
      <w:pPr>
        <w:rPr>
          <w:rFonts w:hint="eastAsia" w:ascii="宋体" w:hAnsi="宋体" w:cs="宋体"/>
          <w:sz w:val="18"/>
          <w:szCs w:val="18"/>
        </w:rPr>
      </w:pPr>
      <w:r>
        <w:rPr>
          <w:rFonts w:ascii="宋体" w:hAnsi="宋体" w:cs="宋体"/>
          <w:sz w:val="18"/>
          <w:szCs w:val="18"/>
        </w:rPr>
        <w:t>[4] 冯西桥.核反应堆压力管道与压力容器的LBB分析[R].北京</w:t>
      </w:r>
      <w:r>
        <w:rPr>
          <w:rFonts w:hint="eastAsia" w:ascii="宋体" w:hAnsi="宋体" w:cs="宋体"/>
          <w:sz w:val="18"/>
          <w:szCs w:val="18"/>
        </w:rPr>
        <w:t>:</w:t>
      </w:r>
      <w:r>
        <w:rPr>
          <w:rFonts w:ascii="宋体" w:hAnsi="宋体" w:cs="宋体"/>
          <w:sz w:val="18"/>
          <w:szCs w:val="18"/>
        </w:rPr>
        <w:t>清华大学核能技术设计研究院</w:t>
      </w:r>
      <w:r>
        <w:rPr>
          <w:rFonts w:hint="eastAsia" w:ascii="宋体" w:hAnsi="宋体" w:cs="宋体"/>
          <w:sz w:val="18"/>
          <w:szCs w:val="18"/>
        </w:rPr>
        <w:t>,</w:t>
      </w:r>
      <w:r>
        <w:rPr>
          <w:rFonts w:ascii="宋体" w:hAnsi="宋体" w:cs="宋体"/>
          <w:sz w:val="18"/>
          <w:szCs w:val="18"/>
        </w:rPr>
        <w:t>1997.</w:t>
      </w:r>
    </w:p>
    <w:p w14:paraId="468BA8E9">
      <w:pPr>
        <w:rPr>
          <w:rFonts w:hint="eastAsia" w:ascii="宋体" w:hAnsi="宋体" w:cs="宋体"/>
          <w:sz w:val="18"/>
          <w:szCs w:val="18"/>
        </w:rPr>
      </w:pPr>
      <w:r>
        <w:rPr>
          <w:rFonts w:ascii="宋体" w:hAnsi="宋体" w:cs="宋体"/>
          <w:sz w:val="18"/>
          <w:szCs w:val="18"/>
        </w:rPr>
        <w:t>[5] [捷]夸美纽斯.傅任敢译.大教学论[M].北京:教育科学出版社</w:t>
      </w:r>
      <w:r>
        <w:rPr>
          <w:rFonts w:hint="eastAsia" w:ascii="宋体" w:hAnsi="宋体" w:cs="宋体"/>
          <w:sz w:val="18"/>
          <w:szCs w:val="18"/>
        </w:rPr>
        <w:t>,</w:t>
      </w:r>
      <w:r>
        <w:rPr>
          <w:rFonts w:ascii="宋体" w:hAnsi="宋体" w:cs="宋体"/>
          <w:sz w:val="18"/>
          <w:szCs w:val="18"/>
        </w:rPr>
        <w:t>2014.</w:t>
      </w:r>
    </w:p>
    <w:p w14:paraId="76DBDD90">
      <w:pPr>
        <w:rPr>
          <w:rFonts w:hint="eastAsia" w:ascii="宋体" w:hAnsi="宋体" w:cs="宋体"/>
          <w:sz w:val="18"/>
          <w:szCs w:val="18"/>
        </w:rPr>
      </w:pPr>
      <w:r>
        <w:rPr>
          <w:rFonts w:ascii="宋体" w:hAnsi="宋体" w:cs="宋体"/>
          <w:sz w:val="18"/>
          <w:szCs w:val="18"/>
        </w:rPr>
        <w:t>如果是翻译国外的著作，需写明作者的国籍，并用方括号括起来。</w:t>
      </w:r>
    </w:p>
    <w:p w14:paraId="6BCFE53B">
      <w:pPr>
        <w:rPr>
          <w:rFonts w:hint="eastAsia" w:ascii="宋体" w:hAnsi="宋体" w:cs="宋体"/>
          <w:b/>
          <w:bCs/>
          <w:sz w:val="18"/>
          <w:szCs w:val="18"/>
        </w:rPr>
      </w:pPr>
      <w:bookmarkStart w:id="2" w:name="OLE_LINK2"/>
      <w:r>
        <w:rPr>
          <w:rFonts w:hint="eastAsia" w:ascii="宋体" w:hAnsi="宋体" w:cs="宋体"/>
          <w:b/>
          <w:bCs/>
          <w:sz w:val="18"/>
          <w:szCs w:val="18"/>
        </w:rPr>
        <w:t>2.</w:t>
      </w:r>
      <w:r>
        <w:rPr>
          <w:rFonts w:ascii="宋体" w:hAnsi="宋体" w:cs="宋体"/>
          <w:b/>
          <w:bCs/>
          <w:sz w:val="18"/>
          <w:szCs w:val="18"/>
        </w:rPr>
        <w:t>期刊文章[J]</w:t>
      </w:r>
    </w:p>
    <w:p w14:paraId="2199F575">
      <w:pPr>
        <w:rPr>
          <w:rFonts w:hint="eastAsia" w:ascii="宋体" w:hAnsi="宋体" w:cs="宋体"/>
          <w:b/>
          <w:bCs/>
          <w:sz w:val="18"/>
          <w:szCs w:val="18"/>
        </w:rPr>
      </w:pPr>
      <w:r>
        <w:rPr>
          <w:rFonts w:ascii="宋体" w:hAnsi="宋体" w:cs="宋体"/>
          <w:b/>
          <w:bCs/>
          <w:sz w:val="18"/>
          <w:szCs w:val="18"/>
        </w:rPr>
        <w:t>[序号] 主要责任者.文献题名[J].刊名，年，卷(期)：起止页码+转页页码.</w:t>
      </w:r>
    </w:p>
    <w:bookmarkEnd w:id="2"/>
    <w:p w14:paraId="2A6A4812">
      <w:pPr>
        <w:rPr>
          <w:rFonts w:hint="eastAsia" w:ascii="宋体" w:hAnsi="宋体" w:cs="宋体"/>
          <w:sz w:val="18"/>
          <w:szCs w:val="18"/>
        </w:rPr>
      </w:pPr>
      <w:r>
        <w:rPr>
          <w:rFonts w:ascii="宋体" w:hAnsi="宋体" w:cs="宋体"/>
          <w:sz w:val="18"/>
          <w:szCs w:val="18"/>
        </w:rPr>
        <w:t>例如：</w:t>
      </w:r>
    </w:p>
    <w:p w14:paraId="4A5BA7B7">
      <w:pPr>
        <w:rPr>
          <w:rFonts w:hint="eastAsia" w:ascii="宋体" w:hAnsi="宋体" w:cs="宋体"/>
          <w:sz w:val="18"/>
          <w:szCs w:val="18"/>
        </w:rPr>
      </w:pPr>
      <w:r>
        <w:rPr>
          <w:rFonts w:ascii="宋体" w:hAnsi="宋体" w:cs="宋体"/>
          <w:sz w:val="18"/>
          <w:szCs w:val="18"/>
        </w:rPr>
        <w:t xml:space="preserve">[1] </w:t>
      </w:r>
      <w:r>
        <w:rPr>
          <w:rFonts w:hint="eastAsia" w:ascii="宋体" w:hAnsi="宋体" w:cs="宋体"/>
          <w:sz w:val="18"/>
          <w:szCs w:val="18"/>
        </w:rPr>
        <w:t>祝智庭,杜若</w:t>
      </w:r>
      <w:r>
        <w:rPr>
          <w:rFonts w:ascii="宋体" w:hAnsi="宋体" w:cs="宋体"/>
          <w:sz w:val="18"/>
          <w:szCs w:val="18"/>
        </w:rPr>
        <w:t>.</w:t>
      </w:r>
      <w:r>
        <w:rPr>
          <w:rFonts w:hint="eastAsia" w:ascii="宋体" w:hAnsi="宋体" w:cs="宋体"/>
          <w:sz w:val="18"/>
          <w:szCs w:val="18"/>
        </w:rPr>
        <w:t>道器相济:教育数字化智慧治理的系统框架与事理研究</w:t>
      </w:r>
      <w:r>
        <w:rPr>
          <w:rFonts w:ascii="宋体" w:hAnsi="宋体" w:cs="宋体"/>
          <w:sz w:val="18"/>
          <w:szCs w:val="18"/>
        </w:rPr>
        <w:t>[J].</w:t>
      </w:r>
      <w:r>
        <w:rPr>
          <w:rFonts w:hint="eastAsia" w:ascii="宋体" w:hAnsi="宋体" w:cs="宋体"/>
          <w:sz w:val="18"/>
          <w:szCs w:val="18"/>
        </w:rPr>
        <w:t>中国电化教育,2026,(1)</w:t>
      </w:r>
      <w:r>
        <w:rPr>
          <w:rFonts w:ascii="宋体" w:hAnsi="宋体" w:cs="宋体"/>
          <w:sz w:val="18"/>
          <w:szCs w:val="18"/>
        </w:rPr>
        <w:t>:</w:t>
      </w:r>
      <w:r>
        <w:rPr>
          <w:rFonts w:hint="eastAsia" w:ascii="宋体" w:hAnsi="宋体" w:cs="宋体"/>
          <w:sz w:val="18"/>
          <w:szCs w:val="18"/>
        </w:rPr>
        <w:t>1-12</w:t>
      </w:r>
      <w:r>
        <w:rPr>
          <w:rFonts w:ascii="宋体" w:hAnsi="宋体" w:cs="宋体"/>
          <w:sz w:val="18"/>
          <w:szCs w:val="18"/>
        </w:rPr>
        <w:t>.</w:t>
      </w:r>
    </w:p>
    <w:p w14:paraId="393DF4C4">
      <w:pPr>
        <w:rPr>
          <w:rFonts w:hint="eastAsia" w:ascii="宋体" w:hAnsi="宋体" w:cs="宋体"/>
          <w:sz w:val="18"/>
          <w:szCs w:val="18"/>
        </w:rPr>
      </w:pPr>
      <w:r>
        <w:rPr>
          <w:rFonts w:ascii="宋体" w:hAnsi="宋体" w:cs="宋体"/>
          <w:sz w:val="18"/>
          <w:szCs w:val="18"/>
        </w:rPr>
        <w:t>[2]</w:t>
      </w:r>
      <w:r>
        <w:rPr>
          <w:rFonts w:hint="eastAsia" w:ascii="宋体" w:hAnsi="宋体" w:cs="宋体"/>
          <w:sz w:val="18"/>
          <w:szCs w:val="18"/>
        </w:rPr>
        <w:t xml:space="preserve"> </w:t>
      </w:r>
      <w:r>
        <w:rPr>
          <w:rFonts w:ascii="宋体" w:hAnsi="宋体" w:cs="宋体"/>
          <w:sz w:val="18"/>
          <w:szCs w:val="18"/>
        </w:rPr>
        <w:t>M.Granovetter.The Strength of Weak tie</w:t>
      </w:r>
      <w:r>
        <w:rPr>
          <w:rFonts w:hint="eastAsia" w:ascii="宋体" w:hAnsi="宋体" w:cs="宋体"/>
          <w:sz w:val="18"/>
          <w:szCs w:val="18"/>
        </w:rPr>
        <w:t xml:space="preserve"> </w:t>
      </w:r>
      <w:r>
        <w:rPr>
          <w:rFonts w:ascii="宋体" w:hAnsi="宋体" w:cs="宋体"/>
          <w:sz w:val="18"/>
          <w:szCs w:val="18"/>
        </w:rPr>
        <w:t>[J].American Journal of Sociology</w:t>
      </w:r>
      <w:r>
        <w:rPr>
          <w:rFonts w:hint="eastAsia" w:ascii="宋体" w:hAnsi="宋体" w:cs="宋体"/>
          <w:sz w:val="18"/>
          <w:szCs w:val="18"/>
        </w:rPr>
        <w:t>,</w:t>
      </w:r>
      <w:r>
        <w:rPr>
          <w:rFonts w:ascii="宋体" w:hAnsi="宋体" w:cs="宋体"/>
          <w:sz w:val="18"/>
          <w:szCs w:val="18"/>
        </w:rPr>
        <w:t>1973</w:t>
      </w:r>
      <w:r>
        <w:rPr>
          <w:rFonts w:hint="eastAsia" w:ascii="宋体" w:hAnsi="宋体" w:cs="宋体"/>
          <w:sz w:val="18"/>
          <w:szCs w:val="18"/>
        </w:rPr>
        <w:t>,</w:t>
      </w:r>
      <w:r>
        <w:rPr>
          <w:rFonts w:ascii="宋体" w:hAnsi="宋体" w:cs="宋体"/>
          <w:sz w:val="18"/>
          <w:szCs w:val="18"/>
        </w:rPr>
        <w:t>88</w:t>
      </w:r>
      <w:r>
        <w:rPr>
          <w:rFonts w:hint="eastAsia" w:ascii="宋体" w:hAnsi="宋体" w:cs="宋体"/>
          <w:sz w:val="18"/>
          <w:szCs w:val="18"/>
        </w:rPr>
        <w:t>(2):</w:t>
      </w:r>
      <w:r>
        <w:rPr>
          <w:rFonts w:ascii="宋体" w:hAnsi="宋体" w:cs="宋体"/>
          <w:sz w:val="18"/>
          <w:szCs w:val="18"/>
        </w:rPr>
        <w:t>1360-1380.</w:t>
      </w:r>
    </w:p>
    <w:p w14:paraId="18E3E284">
      <w:pPr>
        <w:rPr>
          <w:rFonts w:hint="eastAsia" w:ascii="宋体" w:hAnsi="宋体" w:cs="宋体"/>
          <w:b/>
          <w:bCs/>
          <w:sz w:val="18"/>
          <w:szCs w:val="18"/>
        </w:rPr>
      </w:pPr>
      <w:r>
        <w:rPr>
          <w:rFonts w:hint="eastAsia" w:ascii="宋体" w:hAnsi="宋体" w:cs="宋体"/>
          <w:b/>
          <w:bCs/>
          <w:sz w:val="18"/>
          <w:szCs w:val="18"/>
        </w:rPr>
        <w:t>3.</w:t>
      </w:r>
      <w:r>
        <w:rPr>
          <w:rFonts w:ascii="宋体" w:hAnsi="宋体" w:cs="宋体"/>
          <w:b/>
          <w:bCs/>
          <w:sz w:val="18"/>
          <w:szCs w:val="18"/>
        </w:rPr>
        <w:t xml:space="preserve">论文集中的析出文献[A]……[C]   </w:t>
      </w:r>
      <w:bookmarkStart w:id="3" w:name="_Hlk534206478"/>
      <w:r>
        <w:rPr>
          <w:rFonts w:ascii="宋体" w:hAnsi="宋体" w:cs="宋体"/>
          <w:b/>
          <w:bCs/>
          <w:sz w:val="18"/>
          <w:szCs w:val="18"/>
        </w:rPr>
        <w:t>[A]……[M]</w:t>
      </w:r>
      <w:bookmarkEnd w:id="3"/>
    </w:p>
    <w:p w14:paraId="79759739">
      <w:pPr>
        <w:rPr>
          <w:rFonts w:hint="eastAsia" w:ascii="宋体" w:hAnsi="宋体" w:cs="宋体"/>
          <w:sz w:val="18"/>
          <w:szCs w:val="18"/>
        </w:rPr>
      </w:pPr>
      <w:r>
        <w:rPr>
          <w:rFonts w:ascii="宋体" w:hAnsi="宋体" w:cs="宋体"/>
          <w:sz w:val="18"/>
          <w:szCs w:val="18"/>
        </w:rPr>
        <w:t>[序号] 析出文献主要责任者.析出文献题名[A].原文献主要责任者(任选).原文献题名[C].出版地：出版者</w:t>
      </w:r>
      <w:r>
        <w:rPr>
          <w:rFonts w:hint="eastAsia" w:ascii="宋体" w:hAnsi="宋体" w:cs="宋体"/>
          <w:sz w:val="18"/>
          <w:szCs w:val="18"/>
        </w:rPr>
        <w:t>,</w:t>
      </w:r>
      <w:r>
        <w:rPr>
          <w:rFonts w:ascii="宋体" w:hAnsi="宋体" w:cs="宋体"/>
          <w:sz w:val="18"/>
          <w:szCs w:val="18"/>
        </w:rPr>
        <w:t>出版年.析出文献起止页码.</w:t>
      </w:r>
    </w:p>
    <w:p w14:paraId="2F376B88">
      <w:pPr>
        <w:rPr>
          <w:rFonts w:hint="eastAsia" w:ascii="宋体" w:hAnsi="宋体" w:cs="宋体"/>
          <w:sz w:val="18"/>
          <w:szCs w:val="18"/>
        </w:rPr>
      </w:pPr>
      <w:r>
        <w:rPr>
          <w:rFonts w:ascii="宋体" w:hAnsi="宋体" w:cs="宋体"/>
          <w:sz w:val="18"/>
          <w:szCs w:val="18"/>
        </w:rPr>
        <w:t>例如：</w:t>
      </w:r>
    </w:p>
    <w:p w14:paraId="7C2503C3">
      <w:pPr>
        <w:rPr>
          <w:rFonts w:hint="eastAsia" w:ascii="宋体" w:hAnsi="宋体" w:cs="宋体"/>
          <w:sz w:val="18"/>
          <w:szCs w:val="18"/>
        </w:rPr>
      </w:pPr>
      <w:r>
        <w:rPr>
          <w:rFonts w:ascii="宋体" w:hAnsi="宋体" w:cs="宋体"/>
          <w:sz w:val="18"/>
          <w:szCs w:val="18"/>
        </w:rPr>
        <w:t>[1] Anderson</w:t>
      </w:r>
      <w:r>
        <w:rPr>
          <w:rFonts w:hint="eastAsia" w:ascii="宋体" w:hAnsi="宋体" w:cs="宋体"/>
          <w:sz w:val="18"/>
          <w:szCs w:val="18"/>
        </w:rPr>
        <w:t>.</w:t>
      </w:r>
      <w:r>
        <w:rPr>
          <w:rFonts w:ascii="宋体" w:hAnsi="宋体" w:cs="宋体"/>
          <w:sz w:val="18"/>
          <w:szCs w:val="18"/>
        </w:rPr>
        <w:t>M.D.Individual Characteristics and Web-Based Courses [A].Christopher R.Wolfe.Learning and Teaching on the World Wide Web [C].San Diego:Academic Press</w:t>
      </w:r>
      <w:r>
        <w:rPr>
          <w:rFonts w:hint="eastAsia" w:ascii="宋体" w:hAnsi="宋体" w:cs="宋体"/>
          <w:sz w:val="18"/>
          <w:szCs w:val="18"/>
        </w:rPr>
        <w:t>,</w:t>
      </w:r>
      <w:r>
        <w:rPr>
          <w:rFonts w:ascii="宋体" w:hAnsi="宋体" w:cs="宋体"/>
          <w:sz w:val="18"/>
          <w:szCs w:val="18"/>
        </w:rPr>
        <w:t>2001.45-72.</w:t>
      </w:r>
    </w:p>
    <w:p w14:paraId="330E5B5C">
      <w:pPr>
        <w:rPr>
          <w:rFonts w:hint="eastAsia" w:ascii="宋体" w:hAnsi="宋体" w:cs="宋体"/>
          <w:sz w:val="18"/>
          <w:szCs w:val="18"/>
        </w:rPr>
      </w:pPr>
      <w:r>
        <w:rPr>
          <w:rFonts w:ascii="宋体" w:hAnsi="宋体" w:cs="宋体"/>
          <w:sz w:val="18"/>
          <w:szCs w:val="18"/>
        </w:rPr>
        <w:t>[2] 钟文发.非线性规划在可燃毒物配置中的应用[A].赵伟.运筹学的理论与应用——中国运筹学会第五届大会论文集[C].西安</w:t>
      </w:r>
      <w:r>
        <w:rPr>
          <w:rFonts w:hint="eastAsia" w:ascii="宋体" w:hAnsi="宋体" w:cs="宋体"/>
          <w:sz w:val="18"/>
          <w:szCs w:val="18"/>
        </w:rPr>
        <w:t>:</w:t>
      </w:r>
      <w:r>
        <w:rPr>
          <w:rFonts w:ascii="宋体" w:hAnsi="宋体" w:cs="宋体"/>
          <w:sz w:val="18"/>
          <w:szCs w:val="18"/>
        </w:rPr>
        <w:t>西安电子科技大学出版社</w:t>
      </w:r>
      <w:r>
        <w:rPr>
          <w:rFonts w:hint="eastAsia" w:ascii="宋体" w:hAnsi="宋体" w:cs="宋体"/>
          <w:sz w:val="18"/>
          <w:szCs w:val="18"/>
        </w:rPr>
        <w:t>,</w:t>
      </w:r>
      <w:r>
        <w:rPr>
          <w:rFonts w:ascii="宋体" w:hAnsi="宋体" w:cs="宋体"/>
          <w:sz w:val="18"/>
          <w:szCs w:val="18"/>
        </w:rPr>
        <w:t>1996.467-487.</w:t>
      </w:r>
    </w:p>
    <w:p w14:paraId="48D3944A">
      <w:pPr>
        <w:rPr>
          <w:rFonts w:hint="eastAsia" w:ascii="宋体" w:hAnsi="宋体" w:cs="宋体"/>
          <w:b/>
          <w:bCs/>
          <w:sz w:val="18"/>
          <w:szCs w:val="18"/>
        </w:rPr>
      </w:pPr>
      <w:r>
        <w:rPr>
          <w:rFonts w:hint="eastAsia" w:ascii="宋体" w:hAnsi="宋体" w:cs="宋体"/>
          <w:b/>
          <w:bCs/>
          <w:sz w:val="18"/>
          <w:szCs w:val="18"/>
        </w:rPr>
        <w:t>4.</w:t>
      </w:r>
      <w:r>
        <w:rPr>
          <w:rFonts w:ascii="宋体" w:hAnsi="宋体" w:cs="宋体"/>
          <w:b/>
          <w:bCs/>
          <w:sz w:val="18"/>
          <w:szCs w:val="18"/>
        </w:rPr>
        <w:t>报纸文章[N]</w:t>
      </w:r>
    </w:p>
    <w:p w14:paraId="77ECB9BD">
      <w:pPr>
        <w:rPr>
          <w:rFonts w:hint="eastAsia" w:ascii="宋体" w:hAnsi="宋体" w:cs="宋体"/>
          <w:sz w:val="18"/>
          <w:szCs w:val="18"/>
        </w:rPr>
      </w:pPr>
      <w:r>
        <w:rPr>
          <w:rFonts w:ascii="宋体" w:hAnsi="宋体" w:cs="宋体"/>
          <w:sz w:val="18"/>
          <w:szCs w:val="18"/>
        </w:rPr>
        <w:t>[序号] 主要责任者.文献题名[N].报纸名</w:t>
      </w:r>
      <w:r>
        <w:rPr>
          <w:rFonts w:hint="eastAsia" w:ascii="宋体" w:hAnsi="宋体" w:cs="宋体"/>
          <w:sz w:val="18"/>
          <w:szCs w:val="18"/>
        </w:rPr>
        <w:t>,</w:t>
      </w:r>
      <w:r>
        <w:rPr>
          <w:rFonts w:ascii="宋体" w:hAnsi="宋体" w:cs="宋体"/>
          <w:sz w:val="18"/>
          <w:szCs w:val="18"/>
        </w:rPr>
        <w:t>出版日期(版次).</w:t>
      </w:r>
    </w:p>
    <w:p w14:paraId="4F9E8637">
      <w:pPr>
        <w:rPr>
          <w:rFonts w:hint="eastAsia" w:ascii="宋体" w:hAnsi="宋体" w:cs="宋体"/>
          <w:sz w:val="18"/>
          <w:szCs w:val="18"/>
        </w:rPr>
      </w:pPr>
      <w:r>
        <w:rPr>
          <w:rFonts w:ascii="宋体" w:hAnsi="宋体" w:cs="宋体"/>
          <w:sz w:val="18"/>
          <w:szCs w:val="18"/>
        </w:rPr>
        <w:t>例如：</w:t>
      </w:r>
    </w:p>
    <w:p w14:paraId="0F8FBDE1">
      <w:pPr>
        <w:rPr>
          <w:rFonts w:hint="eastAsia" w:ascii="宋体" w:hAnsi="宋体" w:cs="宋体"/>
          <w:sz w:val="18"/>
          <w:szCs w:val="18"/>
        </w:rPr>
      </w:pPr>
      <w:r>
        <w:rPr>
          <w:rFonts w:ascii="宋体" w:hAnsi="宋体" w:cs="宋体"/>
          <w:sz w:val="18"/>
          <w:szCs w:val="18"/>
        </w:rPr>
        <w:t>[1] 谢希德.创造学习的新思路[N].人民日报</w:t>
      </w:r>
      <w:r>
        <w:rPr>
          <w:rFonts w:hint="eastAsia" w:ascii="宋体" w:hAnsi="宋体" w:cs="宋体"/>
          <w:sz w:val="18"/>
          <w:szCs w:val="18"/>
        </w:rPr>
        <w:t>,</w:t>
      </w:r>
      <w:r>
        <w:rPr>
          <w:rFonts w:ascii="宋体" w:hAnsi="宋体" w:cs="宋体"/>
          <w:sz w:val="18"/>
          <w:szCs w:val="18"/>
        </w:rPr>
        <w:t>1998-12-25(10).</w:t>
      </w:r>
    </w:p>
    <w:p w14:paraId="187428AC">
      <w:pPr>
        <w:rPr>
          <w:rFonts w:hint="eastAsia" w:ascii="宋体" w:hAnsi="宋体" w:cs="宋体"/>
          <w:sz w:val="18"/>
          <w:szCs w:val="18"/>
        </w:rPr>
      </w:pPr>
      <w:r>
        <w:rPr>
          <w:rFonts w:ascii="宋体" w:hAnsi="宋体" w:cs="宋体"/>
          <w:sz w:val="18"/>
          <w:szCs w:val="18"/>
        </w:rPr>
        <w:t>注：版次为两位数，如：01、09、12</w:t>
      </w:r>
    </w:p>
    <w:p w14:paraId="3B491059">
      <w:pPr>
        <w:rPr>
          <w:rFonts w:hint="eastAsia" w:ascii="宋体" w:hAnsi="宋体" w:cs="宋体"/>
          <w:b/>
          <w:bCs/>
          <w:sz w:val="18"/>
          <w:szCs w:val="18"/>
        </w:rPr>
      </w:pPr>
      <w:r>
        <w:rPr>
          <w:rFonts w:hint="eastAsia" w:ascii="宋体" w:hAnsi="宋体" w:cs="宋体"/>
          <w:b/>
          <w:bCs/>
          <w:sz w:val="18"/>
          <w:szCs w:val="18"/>
        </w:rPr>
        <w:t>5.</w:t>
      </w:r>
      <w:r>
        <w:rPr>
          <w:rFonts w:ascii="宋体" w:hAnsi="宋体" w:cs="宋体"/>
          <w:b/>
          <w:bCs/>
          <w:sz w:val="18"/>
          <w:szCs w:val="18"/>
        </w:rPr>
        <w:t>国际、国家标准[S]</w:t>
      </w:r>
    </w:p>
    <w:p w14:paraId="7D04F334">
      <w:pPr>
        <w:rPr>
          <w:rFonts w:hint="eastAsia" w:ascii="宋体" w:hAnsi="宋体" w:cs="宋体"/>
          <w:sz w:val="18"/>
          <w:szCs w:val="18"/>
        </w:rPr>
      </w:pPr>
      <w:r>
        <w:rPr>
          <w:rFonts w:ascii="宋体" w:hAnsi="宋体" w:cs="宋体"/>
          <w:sz w:val="18"/>
          <w:szCs w:val="18"/>
        </w:rPr>
        <w:t>[序号] 标准编号</w:t>
      </w:r>
      <w:r>
        <w:rPr>
          <w:rFonts w:hint="eastAsia" w:ascii="宋体" w:hAnsi="宋体" w:cs="宋体"/>
          <w:sz w:val="18"/>
          <w:szCs w:val="18"/>
        </w:rPr>
        <w:t>,</w:t>
      </w:r>
      <w:r>
        <w:rPr>
          <w:rFonts w:ascii="宋体" w:hAnsi="宋体" w:cs="宋体"/>
          <w:sz w:val="18"/>
          <w:szCs w:val="18"/>
        </w:rPr>
        <w:t>标准名称[S].</w:t>
      </w:r>
    </w:p>
    <w:p w14:paraId="41F32008">
      <w:pPr>
        <w:rPr>
          <w:rFonts w:hint="eastAsia" w:ascii="宋体" w:hAnsi="宋体" w:cs="宋体"/>
          <w:sz w:val="18"/>
          <w:szCs w:val="18"/>
        </w:rPr>
      </w:pPr>
      <w:r>
        <w:rPr>
          <w:rFonts w:ascii="宋体" w:hAnsi="宋体" w:cs="宋体"/>
          <w:sz w:val="18"/>
          <w:szCs w:val="18"/>
        </w:rPr>
        <w:t>例如：</w:t>
      </w:r>
    </w:p>
    <w:p w14:paraId="27209C6A">
      <w:pPr>
        <w:rPr>
          <w:rFonts w:hint="eastAsia" w:ascii="宋体" w:hAnsi="宋体" w:cs="宋体"/>
          <w:sz w:val="18"/>
          <w:szCs w:val="18"/>
        </w:rPr>
      </w:pPr>
      <w:r>
        <w:rPr>
          <w:rFonts w:ascii="宋体" w:hAnsi="宋体" w:cs="宋体"/>
          <w:sz w:val="18"/>
          <w:szCs w:val="18"/>
        </w:rPr>
        <w:t>[1] GB/T16159-1996</w:t>
      </w:r>
      <w:r>
        <w:rPr>
          <w:rFonts w:hint="eastAsia" w:ascii="宋体" w:hAnsi="宋体" w:cs="宋体"/>
          <w:sz w:val="18"/>
          <w:szCs w:val="18"/>
        </w:rPr>
        <w:t>,</w:t>
      </w:r>
      <w:r>
        <w:rPr>
          <w:rFonts w:ascii="宋体" w:hAnsi="宋体" w:cs="宋体"/>
          <w:sz w:val="18"/>
          <w:szCs w:val="18"/>
        </w:rPr>
        <w:t>汉语拼音正词法基本规则[S].</w:t>
      </w:r>
    </w:p>
    <w:p w14:paraId="291D4941">
      <w:pPr>
        <w:rPr>
          <w:rFonts w:hint="eastAsia" w:ascii="宋体" w:hAnsi="宋体" w:cs="宋体"/>
          <w:b/>
          <w:bCs/>
          <w:sz w:val="18"/>
          <w:szCs w:val="18"/>
        </w:rPr>
      </w:pPr>
      <w:r>
        <w:rPr>
          <w:rFonts w:hint="eastAsia" w:ascii="宋体" w:hAnsi="宋体" w:cs="宋体"/>
          <w:b/>
          <w:bCs/>
          <w:sz w:val="18"/>
          <w:szCs w:val="18"/>
        </w:rPr>
        <w:t>6.</w:t>
      </w:r>
      <w:r>
        <w:rPr>
          <w:rFonts w:ascii="宋体" w:hAnsi="宋体" w:cs="宋体"/>
          <w:b/>
          <w:bCs/>
          <w:sz w:val="18"/>
          <w:szCs w:val="18"/>
        </w:rPr>
        <w:t>专利[P]</w:t>
      </w:r>
    </w:p>
    <w:p w14:paraId="639005AC">
      <w:pPr>
        <w:rPr>
          <w:rFonts w:hint="eastAsia" w:ascii="宋体" w:hAnsi="宋体" w:cs="宋体"/>
          <w:sz w:val="18"/>
          <w:szCs w:val="18"/>
        </w:rPr>
      </w:pPr>
      <w:r>
        <w:rPr>
          <w:rFonts w:ascii="宋体" w:hAnsi="宋体" w:cs="宋体"/>
          <w:sz w:val="18"/>
          <w:szCs w:val="18"/>
        </w:rPr>
        <w:t>[序号] 专利所有者.专利题名[P].专利国别：专利号</w:t>
      </w:r>
      <w:r>
        <w:rPr>
          <w:rFonts w:hint="eastAsia" w:ascii="宋体" w:hAnsi="宋体" w:cs="宋体"/>
          <w:sz w:val="18"/>
          <w:szCs w:val="18"/>
        </w:rPr>
        <w:t>,</w:t>
      </w:r>
      <w:r>
        <w:rPr>
          <w:rFonts w:ascii="宋体" w:hAnsi="宋体" w:cs="宋体"/>
          <w:sz w:val="18"/>
          <w:szCs w:val="18"/>
        </w:rPr>
        <w:t>出版日期.</w:t>
      </w:r>
    </w:p>
    <w:p w14:paraId="27368721">
      <w:pPr>
        <w:rPr>
          <w:rFonts w:hint="eastAsia" w:ascii="宋体" w:hAnsi="宋体" w:cs="宋体"/>
          <w:sz w:val="18"/>
          <w:szCs w:val="18"/>
        </w:rPr>
      </w:pPr>
      <w:r>
        <w:rPr>
          <w:rFonts w:ascii="宋体" w:hAnsi="宋体" w:cs="宋体"/>
          <w:sz w:val="18"/>
          <w:szCs w:val="18"/>
        </w:rPr>
        <w:t>例如：</w:t>
      </w:r>
    </w:p>
    <w:p w14:paraId="71EAC930">
      <w:pPr>
        <w:rPr>
          <w:rFonts w:hint="eastAsia" w:ascii="宋体" w:hAnsi="宋体" w:cs="宋体"/>
          <w:sz w:val="18"/>
          <w:szCs w:val="18"/>
        </w:rPr>
      </w:pPr>
      <w:r>
        <w:rPr>
          <w:rFonts w:ascii="宋体" w:hAnsi="宋体" w:cs="宋体"/>
          <w:sz w:val="18"/>
          <w:szCs w:val="18"/>
        </w:rPr>
        <w:t xml:space="preserve"> [1] 姜锡洲.一种温热外敷药制备方案[P].中国专利</w:t>
      </w:r>
      <w:r>
        <w:rPr>
          <w:rFonts w:hint="eastAsia" w:ascii="宋体" w:hAnsi="宋体" w:cs="宋体"/>
          <w:sz w:val="18"/>
          <w:szCs w:val="18"/>
        </w:rPr>
        <w:t>:</w:t>
      </w:r>
      <w:r>
        <w:rPr>
          <w:rFonts w:ascii="宋体" w:hAnsi="宋体" w:cs="宋体"/>
          <w:sz w:val="18"/>
          <w:szCs w:val="18"/>
        </w:rPr>
        <w:t>881056073</w:t>
      </w:r>
      <w:r>
        <w:rPr>
          <w:rFonts w:hint="eastAsia" w:ascii="宋体" w:hAnsi="宋体" w:cs="宋体"/>
          <w:sz w:val="18"/>
          <w:szCs w:val="18"/>
        </w:rPr>
        <w:t>,</w:t>
      </w:r>
      <w:r>
        <w:rPr>
          <w:rFonts w:ascii="宋体" w:hAnsi="宋体" w:cs="宋体"/>
          <w:sz w:val="18"/>
          <w:szCs w:val="18"/>
        </w:rPr>
        <w:t>1989-07-26.</w:t>
      </w:r>
    </w:p>
    <w:p w14:paraId="57352C39">
      <w:pPr>
        <w:rPr>
          <w:rFonts w:hint="eastAsia" w:ascii="宋体" w:hAnsi="宋体" w:cs="宋体"/>
          <w:b/>
          <w:bCs/>
          <w:sz w:val="18"/>
          <w:szCs w:val="18"/>
        </w:rPr>
      </w:pPr>
      <w:r>
        <w:rPr>
          <w:rFonts w:hint="eastAsia" w:ascii="宋体" w:hAnsi="宋体" w:cs="宋体"/>
          <w:b/>
          <w:bCs/>
          <w:sz w:val="18"/>
          <w:szCs w:val="18"/>
        </w:rPr>
        <w:t>7.</w:t>
      </w:r>
      <w:r>
        <w:rPr>
          <w:rFonts w:ascii="宋体" w:hAnsi="宋体" w:cs="宋体"/>
          <w:b/>
          <w:bCs/>
          <w:sz w:val="18"/>
          <w:szCs w:val="18"/>
        </w:rPr>
        <w:t>电子文献[DB/OL]  [EB/OL]</w:t>
      </w:r>
    </w:p>
    <w:p w14:paraId="2DEE753A">
      <w:pPr>
        <w:rPr>
          <w:rFonts w:hint="eastAsia" w:ascii="宋体" w:hAnsi="宋体" w:cs="宋体"/>
          <w:sz w:val="18"/>
          <w:szCs w:val="18"/>
        </w:rPr>
      </w:pPr>
      <w:r>
        <w:rPr>
          <w:rFonts w:ascii="宋体" w:hAnsi="宋体" w:cs="宋体"/>
          <w:sz w:val="18"/>
          <w:szCs w:val="18"/>
        </w:rPr>
        <w:t>[序号] 主要责任者.电子文献题名[电子文献及载体类型标识].电子文献的出处或可获得地址</w:t>
      </w:r>
      <w:r>
        <w:rPr>
          <w:rFonts w:hint="eastAsia" w:ascii="宋体" w:hAnsi="宋体" w:cs="宋体"/>
          <w:sz w:val="18"/>
          <w:szCs w:val="18"/>
        </w:rPr>
        <w:t>,</w:t>
      </w:r>
      <w:r>
        <w:rPr>
          <w:rFonts w:ascii="宋体" w:hAnsi="宋体" w:cs="宋体"/>
          <w:sz w:val="18"/>
          <w:szCs w:val="18"/>
        </w:rPr>
        <w:t>发表或更新日期/引用日期.</w:t>
      </w:r>
    </w:p>
    <w:p w14:paraId="301408D7">
      <w:pPr>
        <w:rPr>
          <w:rFonts w:hint="eastAsia" w:ascii="宋体" w:hAnsi="宋体" w:cs="宋体"/>
          <w:sz w:val="18"/>
          <w:szCs w:val="18"/>
        </w:rPr>
      </w:pPr>
      <w:r>
        <w:rPr>
          <w:rFonts w:ascii="宋体" w:hAnsi="宋体" w:cs="宋体"/>
          <w:sz w:val="18"/>
          <w:szCs w:val="18"/>
        </w:rPr>
        <w:t>例： [1] Richard E. An HPT Quick Reference Guide [DB/OL].http://www.greenworks.org/ hpt/</w:t>
      </w:r>
    </w:p>
    <w:p w14:paraId="0BA3E09F">
      <w:pPr>
        <w:rPr>
          <w:rFonts w:hint="eastAsia" w:ascii="宋体" w:hAnsi="宋体" w:cs="宋体"/>
          <w:sz w:val="18"/>
          <w:szCs w:val="18"/>
        </w:rPr>
      </w:pPr>
      <w:r>
        <w:rPr>
          <w:rFonts w:ascii="宋体" w:hAnsi="宋体" w:cs="宋体"/>
          <w:sz w:val="18"/>
          <w:szCs w:val="18"/>
        </w:rPr>
        <w:t>hpt_main.htm</w:t>
      </w:r>
      <w:r>
        <w:rPr>
          <w:rFonts w:hint="eastAsia" w:ascii="宋体" w:hAnsi="宋体" w:cs="宋体"/>
          <w:sz w:val="18"/>
          <w:szCs w:val="18"/>
        </w:rPr>
        <w:t>,</w:t>
      </w:r>
      <w:r>
        <w:rPr>
          <w:rFonts w:ascii="宋体" w:hAnsi="宋体" w:cs="宋体"/>
          <w:sz w:val="18"/>
          <w:szCs w:val="18"/>
        </w:rPr>
        <w:t xml:space="preserve">2011-01-09. </w:t>
      </w:r>
    </w:p>
    <w:p w14:paraId="28ECF64D">
      <w:pPr>
        <w:rPr>
          <w:rFonts w:hint="eastAsia" w:ascii="宋体" w:hAnsi="宋体" w:cs="宋体"/>
          <w:sz w:val="18"/>
          <w:szCs w:val="18"/>
        </w:rPr>
      </w:pPr>
      <w:r>
        <w:rPr>
          <w:rFonts w:ascii="宋体" w:hAnsi="宋体" w:cs="宋体"/>
          <w:sz w:val="18"/>
          <w:szCs w:val="18"/>
        </w:rPr>
        <w:t>[2] 万锦坤.中国大学学报论文文摘(1983-1993).英文版[DB/CD].北京:中国大百科全书出版社</w:t>
      </w:r>
      <w:r>
        <w:rPr>
          <w:rFonts w:hint="eastAsia" w:ascii="宋体" w:hAnsi="宋体" w:cs="宋体"/>
          <w:sz w:val="18"/>
          <w:szCs w:val="18"/>
        </w:rPr>
        <w:t>,</w:t>
      </w:r>
      <w:r>
        <w:rPr>
          <w:rFonts w:ascii="宋体" w:hAnsi="宋体" w:cs="宋体"/>
          <w:sz w:val="18"/>
          <w:szCs w:val="18"/>
        </w:rPr>
        <w:t>1996-01-09.</w:t>
      </w:r>
    </w:p>
    <w:p w14:paraId="25B1A6D7">
      <w:pPr>
        <w:rPr>
          <w:rFonts w:hint="eastAsia" w:ascii="宋体" w:hAnsi="宋体" w:cs="宋体"/>
          <w:b/>
          <w:bCs/>
          <w:sz w:val="18"/>
          <w:szCs w:val="18"/>
        </w:rPr>
      </w:pPr>
      <w:r>
        <w:rPr>
          <w:rFonts w:hint="eastAsia" w:ascii="宋体" w:hAnsi="宋体" w:cs="宋体"/>
          <w:b/>
          <w:bCs/>
          <w:sz w:val="18"/>
          <w:szCs w:val="18"/>
        </w:rPr>
        <w:t>8.</w:t>
      </w:r>
      <w:r>
        <w:rPr>
          <w:rFonts w:ascii="宋体" w:hAnsi="宋体" w:cs="宋体"/>
          <w:b/>
          <w:bCs/>
          <w:sz w:val="18"/>
          <w:szCs w:val="18"/>
        </w:rPr>
        <w:t>文件[Z]</w:t>
      </w:r>
    </w:p>
    <w:p w14:paraId="2B5A48CB">
      <w:pPr>
        <w:rPr>
          <w:rFonts w:hint="eastAsia" w:ascii="宋体" w:hAnsi="宋体" w:cs="宋体"/>
          <w:sz w:val="18"/>
          <w:szCs w:val="18"/>
        </w:rPr>
      </w:pPr>
      <w:r>
        <w:rPr>
          <w:rFonts w:ascii="宋体" w:hAnsi="宋体" w:cs="宋体"/>
          <w:sz w:val="18"/>
          <w:szCs w:val="18"/>
        </w:rPr>
        <w:t xml:space="preserve">[序号]文件编号，文献名称 </w:t>
      </w:r>
      <w:bookmarkStart w:id="4" w:name="_Hlk534206523"/>
      <w:r>
        <w:rPr>
          <w:rFonts w:ascii="宋体" w:hAnsi="宋体" w:cs="宋体"/>
          <w:sz w:val="18"/>
          <w:szCs w:val="18"/>
        </w:rPr>
        <w:t>[Z]</w:t>
      </w:r>
      <w:bookmarkEnd w:id="4"/>
      <w:r>
        <w:rPr>
          <w:rFonts w:ascii="宋体" w:hAnsi="宋体" w:cs="宋体"/>
          <w:sz w:val="18"/>
          <w:szCs w:val="18"/>
        </w:rPr>
        <w:t>.</w:t>
      </w:r>
    </w:p>
    <w:p w14:paraId="41A7608C">
      <w:pPr>
        <w:rPr>
          <w:rFonts w:hint="eastAsia" w:ascii="宋体" w:hAnsi="宋体" w:cs="宋体"/>
          <w:sz w:val="18"/>
          <w:szCs w:val="18"/>
        </w:rPr>
      </w:pPr>
      <w:r>
        <w:rPr>
          <w:rFonts w:ascii="宋体" w:hAnsi="宋体" w:cs="宋体"/>
          <w:sz w:val="18"/>
          <w:szCs w:val="18"/>
        </w:rPr>
        <w:t>例：[1]</w:t>
      </w:r>
      <w:r>
        <w:rPr>
          <w:rFonts w:hint="eastAsia" w:ascii="宋体" w:hAnsi="宋体" w:cs="宋体"/>
          <w:sz w:val="18"/>
          <w:szCs w:val="18"/>
        </w:rPr>
        <w:t xml:space="preserve"> </w:t>
      </w:r>
      <w:r>
        <w:rPr>
          <w:rFonts w:ascii="宋体" w:hAnsi="宋体" w:cs="宋体"/>
          <w:sz w:val="18"/>
          <w:szCs w:val="18"/>
        </w:rPr>
        <w:t>教基[2000]34号文件</w:t>
      </w:r>
      <w:r>
        <w:rPr>
          <w:rFonts w:hint="eastAsia" w:ascii="宋体" w:hAnsi="宋体" w:cs="宋体"/>
          <w:sz w:val="18"/>
          <w:szCs w:val="18"/>
        </w:rPr>
        <w:t>,</w:t>
      </w:r>
      <w:r>
        <w:rPr>
          <w:rFonts w:ascii="宋体" w:hAnsi="宋体" w:cs="宋体"/>
          <w:sz w:val="18"/>
          <w:szCs w:val="18"/>
        </w:rPr>
        <w:t>教育部关于在中小学实施“校校通”工程的通知[Z].</w:t>
      </w:r>
    </w:p>
    <w:p w14:paraId="4D2FBBAB">
      <w:pPr>
        <w:rPr>
          <w:rFonts w:hint="eastAsia" w:ascii="宋体" w:hAnsi="宋体" w:cs="宋体"/>
          <w:sz w:val="18"/>
          <w:szCs w:val="18"/>
        </w:rPr>
      </w:pPr>
      <w:r>
        <w:rPr>
          <w:rFonts w:ascii="宋体" w:hAnsi="宋体" w:cs="宋体"/>
          <w:sz w:val="18"/>
          <w:szCs w:val="18"/>
        </w:rPr>
        <w:t>(注：文件名不加“”《》)</w:t>
      </w:r>
    </w:p>
    <w:p w14:paraId="3B3F5CAC">
      <w:pPr>
        <w:rPr>
          <w:rFonts w:hint="eastAsia" w:ascii="宋体" w:hAnsi="宋体" w:cs="宋体"/>
          <w:b/>
          <w:bCs/>
          <w:sz w:val="18"/>
          <w:szCs w:val="18"/>
        </w:rPr>
      </w:pPr>
      <w:r>
        <w:rPr>
          <w:rFonts w:hint="eastAsia" w:ascii="宋体" w:hAnsi="宋体" w:cs="宋体"/>
          <w:b/>
          <w:bCs/>
          <w:sz w:val="18"/>
          <w:szCs w:val="18"/>
        </w:rPr>
        <w:t>9.</w:t>
      </w:r>
      <w:r>
        <w:rPr>
          <w:rFonts w:ascii="宋体" w:hAnsi="宋体" w:cs="宋体"/>
          <w:b/>
          <w:bCs/>
          <w:sz w:val="18"/>
          <w:szCs w:val="18"/>
        </w:rPr>
        <w:t>各种未定义类型的文献(Z)</w:t>
      </w:r>
    </w:p>
    <w:p w14:paraId="08D30C41">
      <w:pPr>
        <w:rPr>
          <w:rFonts w:hint="eastAsia" w:ascii="宋体" w:hAnsi="宋体" w:cs="宋体"/>
          <w:sz w:val="18"/>
          <w:szCs w:val="18"/>
        </w:rPr>
      </w:pPr>
      <w:r>
        <w:rPr>
          <w:rFonts w:ascii="宋体" w:hAnsi="宋体" w:cs="宋体"/>
          <w:sz w:val="18"/>
          <w:szCs w:val="18"/>
        </w:rPr>
        <w:t>[序号] 主要责任者.文献题名[Z].出版地：出版者</w:t>
      </w:r>
      <w:r>
        <w:rPr>
          <w:rFonts w:hint="eastAsia" w:ascii="宋体" w:hAnsi="宋体" w:cs="宋体"/>
          <w:sz w:val="18"/>
          <w:szCs w:val="18"/>
        </w:rPr>
        <w:t>,</w:t>
      </w:r>
      <w:r>
        <w:rPr>
          <w:rFonts w:ascii="宋体" w:hAnsi="宋体" w:cs="宋体"/>
          <w:sz w:val="18"/>
          <w:szCs w:val="18"/>
        </w:rPr>
        <w:t xml:space="preserve">出版年. </w:t>
      </w:r>
    </w:p>
    <w:p w14:paraId="2389BDF5">
      <w:pPr>
        <w:rPr>
          <w:rFonts w:hint="eastAsia" w:ascii="宋体" w:hAnsi="宋体" w:cs="宋体"/>
          <w:b/>
          <w:bCs/>
          <w:sz w:val="18"/>
          <w:szCs w:val="18"/>
        </w:rPr>
      </w:pPr>
      <w:r>
        <w:rPr>
          <w:rFonts w:hint="eastAsia" w:ascii="宋体" w:hAnsi="宋体" w:cs="宋体"/>
          <w:b/>
          <w:bCs/>
          <w:sz w:val="18"/>
          <w:szCs w:val="18"/>
        </w:rPr>
        <w:t>10.特殊说明</w:t>
      </w:r>
    </w:p>
    <w:p w14:paraId="76491726">
      <w:pPr>
        <w:rPr>
          <w:rFonts w:hint="eastAsia" w:ascii="宋体" w:hAnsi="宋体" w:cs="宋体"/>
          <w:sz w:val="18"/>
          <w:szCs w:val="18"/>
        </w:rPr>
      </w:pPr>
      <w:r>
        <w:rPr>
          <w:rFonts w:hint="eastAsia" w:ascii="宋体" w:hAnsi="宋体" w:cs="宋体"/>
          <w:sz w:val="18"/>
          <w:szCs w:val="18"/>
        </w:rPr>
        <w:t>(1)部分国外刊物中有作者+时间的引文表述形式，例如：有观点认为：……(Dale Dougherty，2001)。本刊不采用这种引文格式。</w:t>
      </w:r>
    </w:p>
    <w:p w14:paraId="6D0A0104">
      <w:pPr>
        <w:rPr>
          <w:rFonts w:hint="eastAsia" w:ascii="宋体" w:hAnsi="宋体" w:cs="宋体"/>
          <w:sz w:val="18"/>
          <w:szCs w:val="18"/>
        </w:rPr>
      </w:pPr>
      <w:r>
        <w:rPr>
          <w:rFonts w:hint="eastAsia" w:ascii="宋体" w:hAnsi="宋体" w:cs="宋体"/>
          <w:sz w:val="18"/>
          <w:szCs w:val="18"/>
        </w:rPr>
        <w:t>(2)凡是英文的参考文献，文献类型标识前面一律加空格。</w:t>
      </w:r>
    </w:p>
    <w:p w14:paraId="33D5EC2B">
      <w:pPr>
        <w:rPr>
          <w:rFonts w:hint="eastAsia" w:ascii="宋体" w:hAnsi="宋体" w:cs="宋体"/>
          <w:sz w:val="18"/>
          <w:szCs w:val="18"/>
        </w:rPr>
      </w:pPr>
    </w:p>
    <w:p w14:paraId="30D1EEE3">
      <w:pPr>
        <w:rPr>
          <w:b/>
          <w:bCs/>
          <w:sz w:val="18"/>
          <w:szCs w:val="18"/>
          <w:u w:val="single"/>
        </w:rPr>
      </w:pPr>
      <w:r>
        <w:rPr>
          <w:rFonts w:eastAsia="仿宋_GB2312" w:cs="仿宋_GB2312"/>
          <w:color w:val="000000"/>
          <w:spacing w:val="-20"/>
          <w:sz w:val="28"/>
          <w:szCs w:val="28"/>
        </w:rPr>
        <w:br w:type="page"/>
      </w:r>
      <w:r>
        <w:rPr>
          <w:rFonts w:hint="eastAsia" w:ascii="仿宋_GB2312" w:eastAsia="仿宋_GB2312"/>
          <w:sz w:val="32"/>
          <w:szCs w:val="32"/>
        </w:rPr>
        <w:t>附4</w:t>
      </w:r>
      <w:r>
        <w:rPr>
          <w:rFonts w:eastAsia="仿宋_GB2312"/>
          <w:sz w:val="32"/>
          <w:szCs w:val="32"/>
        </w:rPr>
        <w:t>.</w:t>
      </w:r>
      <w:r>
        <w:rPr>
          <w:rFonts w:eastAsia="仿宋_GB2312"/>
          <w:color w:val="000000"/>
          <w:sz w:val="32"/>
          <w:szCs w:val="32"/>
        </w:rPr>
        <w:t>2</w:t>
      </w:r>
      <w:r>
        <w:rPr>
          <w:rFonts w:hint="eastAsia" w:eastAsia="仿宋_GB2312"/>
          <w:color w:val="000000"/>
          <w:sz w:val="32"/>
          <w:szCs w:val="32"/>
        </w:rPr>
        <w:t>：</w:t>
      </w:r>
    </w:p>
    <w:p w14:paraId="00C635F6">
      <w:pPr>
        <w:spacing w:after="156" w:afterLines="50" w:line="520" w:lineRule="exact"/>
        <w:jc w:val="center"/>
        <w:rPr>
          <w:rFonts w:hint="eastAsia" w:ascii="仿宋_GB2312" w:hAnsi="仿宋_GB2312" w:eastAsia="仿宋_GB2312" w:cs="仿宋_GB2312"/>
          <w:b/>
          <w:color w:val="000000"/>
          <w:sz w:val="32"/>
          <w:szCs w:val="32"/>
        </w:rPr>
      </w:pPr>
      <w:r>
        <w:rPr>
          <w:rFonts w:hint="eastAsia" w:ascii="仿宋_GB2312" w:hAnsi="仿宋_GB2312" w:eastAsia="仿宋_GB2312" w:cs="仿宋_GB2312"/>
          <w:b/>
          <w:color w:val="000000"/>
          <w:sz w:val="32"/>
          <w:szCs w:val="32"/>
        </w:rPr>
        <w:t>论文推荐标准</w:t>
      </w:r>
    </w:p>
    <w:tbl>
      <w:tblPr>
        <w:tblStyle w:val="15"/>
        <w:tblW w:w="88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42"/>
        <w:gridCol w:w="6845"/>
        <w:gridCol w:w="789"/>
      </w:tblGrid>
      <w:tr w14:paraId="142D98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2" w:hRule="atLeast"/>
          <w:jc w:val="center"/>
        </w:trPr>
        <w:tc>
          <w:tcPr>
            <w:tcW w:w="1242" w:type="dxa"/>
          </w:tcPr>
          <w:p w14:paraId="4F10DA62">
            <w:pPr>
              <w:spacing w:line="420" w:lineRule="exact"/>
              <w:jc w:val="center"/>
              <w:rPr>
                <w:rFonts w:hint="eastAsia" w:ascii="仿宋_GB2312" w:hAnsi="仿宋_GB2312" w:eastAsia="仿宋_GB2312" w:cs="仿宋_GB2312"/>
                <w:b/>
                <w:sz w:val="28"/>
                <w:szCs w:val="28"/>
              </w:rPr>
            </w:pPr>
            <w:r>
              <w:rPr>
                <w:rFonts w:hint="eastAsia" w:ascii="仿宋_GB2312" w:hAnsi="仿宋_GB2312" w:eastAsia="仿宋_GB2312" w:cs="仿宋_GB2312"/>
                <w:b/>
                <w:sz w:val="28"/>
                <w:szCs w:val="28"/>
              </w:rPr>
              <w:t>类别</w:t>
            </w:r>
          </w:p>
        </w:tc>
        <w:tc>
          <w:tcPr>
            <w:tcW w:w="6845" w:type="dxa"/>
          </w:tcPr>
          <w:p w14:paraId="5496CE66">
            <w:pPr>
              <w:spacing w:line="420" w:lineRule="exact"/>
              <w:jc w:val="center"/>
              <w:rPr>
                <w:rFonts w:hint="eastAsia" w:ascii="仿宋_GB2312" w:hAnsi="仿宋_GB2312" w:eastAsia="仿宋_GB2312" w:cs="仿宋_GB2312"/>
                <w:b/>
                <w:sz w:val="28"/>
                <w:szCs w:val="28"/>
              </w:rPr>
            </w:pPr>
            <w:r>
              <w:rPr>
                <w:rFonts w:hint="eastAsia" w:ascii="仿宋_GB2312" w:hAnsi="仿宋_GB2312" w:eastAsia="仿宋_GB2312" w:cs="仿宋_GB2312"/>
                <w:b/>
                <w:sz w:val="28"/>
                <w:szCs w:val="28"/>
              </w:rPr>
              <w:t>标准（满分</w:t>
            </w:r>
            <w:r>
              <w:rPr>
                <w:rFonts w:eastAsia="仿宋_GB2312"/>
                <w:b/>
                <w:sz w:val="28"/>
                <w:szCs w:val="28"/>
              </w:rPr>
              <w:t>100</w:t>
            </w:r>
            <w:r>
              <w:rPr>
                <w:rFonts w:hint="eastAsia" w:ascii="仿宋_GB2312" w:hAnsi="仿宋_GB2312" w:eastAsia="仿宋_GB2312" w:cs="仿宋_GB2312"/>
                <w:b/>
                <w:sz w:val="28"/>
                <w:szCs w:val="28"/>
              </w:rPr>
              <w:t>分）</w:t>
            </w:r>
          </w:p>
        </w:tc>
        <w:tc>
          <w:tcPr>
            <w:tcW w:w="789" w:type="dxa"/>
          </w:tcPr>
          <w:p w14:paraId="3878FA78">
            <w:pPr>
              <w:spacing w:line="420" w:lineRule="exact"/>
              <w:jc w:val="center"/>
              <w:rPr>
                <w:rFonts w:hint="eastAsia" w:ascii="仿宋_GB2312" w:hAnsi="仿宋_GB2312" w:eastAsia="仿宋_GB2312" w:cs="仿宋_GB2312"/>
                <w:b/>
                <w:sz w:val="28"/>
                <w:szCs w:val="28"/>
              </w:rPr>
            </w:pPr>
            <w:r>
              <w:rPr>
                <w:rFonts w:hint="eastAsia" w:ascii="仿宋_GB2312" w:hAnsi="仿宋_GB2312" w:eastAsia="仿宋_GB2312" w:cs="仿宋_GB2312"/>
                <w:b/>
                <w:sz w:val="28"/>
                <w:szCs w:val="28"/>
              </w:rPr>
              <w:t>权重</w:t>
            </w:r>
          </w:p>
        </w:tc>
      </w:tr>
      <w:tr w14:paraId="3D2C0A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25" w:hRule="atLeast"/>
          <w:jc w:val="center"/>
        </w:trPr>
        <w:tc>
          <w:tcPr>
            <w:tcW w:w="1242" w:type="dxa"/>
            <w:vMerge w:val="restart"/>
            <w:vAlign w:val="center"/>
          </w:tcPr>
          <w:p w14:paraId="3432B961">
            <w:pPr>
              <w:spacing w:line="420" w:lineRule="exact"/>
              <w:jc w:val="center"/>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价值性</w:t>
            </w:r>
          </w:p>
        </w:tc>
        <w:tc>
          <w:tcPr>
            <w:tcW w:w="6845" w:type="dxa"/>
            <w:vAlign w:val="center"/>
          </w:tcPr>
          <w:p w14:paraId="18FE9455">
            <w:pPr>
              <w:spacing w:line="420" w:lineRule="exact"/>
              <w:rPr>
                <w:rFonts w:hint="eastAsia" w:ascii="仿宋_GB2312" w:hAnsi="仿宋_GB2312" w:eastAsia="仿宋_GB2312" w:cs="仿宋_GB2312"/>
                <w:sz w:val="28"/>
                <w:szCs w:val="28"/>
              </w:rPr>
            </w:pPr>
            <w:r>
              <w:rPr>
                <w:rFonts w:eastAsia="仿宋_GB2312"/>
                <w:color w:val="000000"/>
                <w:sz w:val="28"/>
                <w:szCs w:val="28"/>
              </w:rPr>
              <w:t>1.</w:t>
            </w:r>
            <w:r>
              <w:rPr>
                <w:rFonts w:hint="eastAsia" w:ascii="仿宋_GB2312" w:hAnsi="仿宋_GB2312" w:eastAsia="仿宋_GB2312" w:cs="仿宋_GB2312"/>
                <w:color w:val="000000"/>
                <w:sz w:val="28"/>
                <w:szCs w:val="28"/>
              </w:rPr>
              <w:t>选题价值：论文选题紧密围绕活动主题，结合自己的教育教学实际情况，体现当前新课程改革的相关要求，突出教育数字化创新应用，</w:t>
            </w:r>
            <w:r>
              <w:rPr>
                <w:rFonts w:hint="eastAsia" w:ascii="仿宋_GB2312" w:hAnsi="仿宋_GB2312" w:eastAsia="仿宋_GB2312" w:cs="仿宋_GB2312"/>
                <w:sz w:val="28"/>
                <w:szCs w:val="28"/>
              </w:rPr>
              <w:t>具有重要的实践指导价值和</w:t>
            </w:r>
            <w:r>
              <w:rPr>
                <w:rFonts w:hint="eastAsia" w:ascii="仿宋_GB2312" w:hAnsi="仿宋_GB2312" w:eastAsia="仿宋_GB2312" w:cs="仿宋_GB2312"/>
                <w:color w:val="000000"/>
                <w:sz w:val="28"/>
                <w:szCs w:val="28"/>
              </w:rPr>
              <w:t>可</w:t>
            </w:r>
            <w:r>
              <w:rPr>
                <w:rFonts w:hint="eastAsia" w:ascii="仿宋_GB2312" w:hAnsi="仿宋_GB2312" w:eastAsia="仿宋_GB2312" w:cs="仿宋_GB2312"/>
                <w:sz w:val="28"/>
                <w:szCs w:val="28"/>
              </w:rPr>
              <w:t>推广价值</w:t>
            </w:r>
            <w:r>
              <w:rPr>
                <w:rFonts w:hint="eastAsia" w:ascii="仿宋_GB2312" w:hAnsi="仿宋_GB2312" w:eastAsia="仿宋_GB2312" w:cs="仿宋_GB2312"/>
                <w:color w:val="000000"/>
                <w:sz w:val="28"/>
                <w:szCs w:val="28"/>
              </w:rPr>
              <w:t>。</w:t>
            </w:r>
          </w:p>
        </w:tc>
        <w:tc>
          <w:tcPr>
            <w:tcW w:w="789" w:type="dxa"/>
            <w:vMerge w:val="restart"/>
            <w:vAlign w:val="center"/>
          </w:tcPr>
          <w:p w14:paraId="798D4F67">
            <w:pPr>
              <w:spacing w:line="420" w:lineRule="exact"/>
              <w:rPr>
                <w:rFonts w:hint="eastAsia" w:ascii="仿宋_GB2312" w:hAnsi="仿宋_GB2312" w:eastAsia="仿宋_GB2312" w:cs="仿宋_GB2312"/>
                <w:sz w:val="28"/>
                <w:szCs w:val="28"/>
              </w:rPr>
            </w:pPr>
            <w:r>
              <w:rPr>
                <w:rFonts w:eastAsia="仿宋_GB2312"/>
                <w:sz w:val="28"/>
                <w:szCs w:val="28"/>
              </w:rPr>
              <w:t>30</w:t>
            </w:r>
            <w:r>
              <w:rPr>
                <w:rFonts w:hint="eastAsia" w:ascii="仿宋_GB2312" w:hAnsi="仿宋_GB2312" w:eastAsia="仿宋_GB2312" w:cs="仿宋_GB2312"/>
                <w:sz w:val="28"/>
                <w:szCs w:val="28"/>
              </w:rPr>
              <w:t>分</w:t>
            </w:r>
          </w:p>
        </w:tc>
      </w:tr>
      <w:tr w14:paraId="63E2EA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07" w:hRule="atLeast"/>
          <w:jc w:val="center"/>
        </w:trPr>
        <w:tc>
          <w:tcPr>
            <w:tcW w:w="1242" w:type="dxa"/>
            <w:vMerge w:val="continue"/>
          </w:tcPr>
          <w:p w14:paraId="5D8A29ED">
            <w:pPr>
              <w:spacing w:line="420" w:lineRule="exact"/>
              <w:jc w:val="center"/>
              <w:rPr>
                <w:rFonts w:hint="eastAsia" w:ascii="仿宋_GB2312" w:hAnsi="仿宋_GB2312" w:eastAsia="仿宋_GB2312" w:cs="仿宋_GB2312"/>
                <w:sz w:val="28"/>
                <w:szCs w:val="28"/>
              </w:rPr>
            </w:pPr>
          </w:p>
        </w:tc>
        <w:tc>
          <w:tcPr>
            <w:tcW w:w="6845" w:type="dxa"/>
            <w:vAlign w:val="center"/>
          </w:tcPr>
          <w:p w14:paraId="18775273">
            <w:pPr>
              <w:spacing w:line="420" w:lineRule="exact"/>
              <w:rPr>
                <w:rFonts w:hint="eastAsia" w:ascii="仿宋_GB2312" w:hAnsi="仿宋_GB2312" w:eastAsia="仿宋_GB2312" w:cs="仿宋_GB2312"/>
                <w:sz w:val="28"/>
                <w:szCs w:val="28"/>
              </w:rPr>
            </w:pPr>
            <w:r>
              <w:rPr>
                <w:rFonts w:eastAsia="仿宋_GB2312"/>
                <w:sz w:val="28"/>
                <w:szCs w:val="28"/>
              </w:rPr>
              <w:t>2.</w:t>
            </w:r>
            <w:r>
              <w:rPr>
                <w:rFonts w:hint="eastAsia" w:ascii="仿宋_GB2312" w:hAnsi="仿宋_GB2312" w:eastAsia="仿宋_GB2312" w:cs="仿宋_GB2312"/>
                <w:sz w:val="28"/>
                <w:szCs w:val="28"/>
              </w:rPr>
              <w:t>应用价值：论文观点鲜明，围绕教育数字化的理论与实践问题提出切实有效的解决措施，重在解决实际问题，具有启发性和可借鉴价值。</w:t>
            </w:r>
          </w:p>
        </w:tc>
        <w:tc>
          <w:tcPr>
            <w:tcW w:w="789" w:type="dxa"/>
            <w:vMerge w:val="continue"/>
            <w:vAlign w:val="center"/>
          </w:tcPr>
          <w:p w14:paraId="34A2C817">
            <w:pPr>
              <w:spacing w:line="420" w:lineRule="exact"/>
              <w:rPr>
                <w:rFonts w:hint="eastAsia" w:ascii="仿宋_GB2312" w:hAnsi="仿宋_GB2312" w:eastAsia="仿宋_GB2312" w:cs="仿宋_GB2312"/>
                <w:sz w:val="28"/>
                <w:szCs w:val="28"/>
              </w:rPr>
            </w:pPr>
          </w:p>
        </w:tc>
      </w:tr>
      <w:tr w14:paraId="0252F1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80" w:hRule="atLeast"/>
          <w:jc w:val="center"/>
        </w:trPr>
        <w:tc>
          <w:tcPr>
            <w:tcW w:w="1242" w:type="dxa"/>
            <w:vMerge w:val="restart"/>
            <w:vAlign w:val="center"/>
          </w:tcPr>
          <w:p w14:paraId="1351E443">
            <w:pPr>
              <w:spacing w:line="420" w:lineRule="exact"/>
              <w:jc w:val="center"/>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科学性</w:t>
            </w:r>
          </w:p>
        </w:tc>
        <w:tc>
          <w:tcPr>
            <w:tcW w:w="6845" w:type="dxa"/>
            <w:vAlign w:val="center"/>
          </w:tcPr>
          <w:p w14:paraId="47AEAA04">
            <w:pPr>
              <w:widowControl/>
              <w:spacing w:line="420" w:lineRule="exact"/>
              <w:rPr>
                <w:rFonts w:hint="eastAsia" w:ascii="仿宋_GB2312" w:hAnsi="仿宋_GB2312" w:eastAsia="仿宋_GB2312" w:cs="仿宋_GB2312"/>
                <w:sz w:val="28"/>
                <w:szCs w:val="28"/>
              </w:rPr>
            </w:pPr>
            <w:r>
              <w:rPr>
                <w:rFonts w:eastAsia="仿宋_GB2312"/>
                <w:color w:val="000000"/>
                <w:sz w:val="28"/>
                <w:szCs w:val="28"/>
              </w:rPr>
              <w:t>1.</w:t>
            </w:r>
            <w:r>
              <w:rPr>
                <w:rFonts w:hint="eastAsia" w:ascii="仿宋_GB2312" w:hAnsi="仿宋_GB2312" w:eastAsia="仿宋_GB2312" w:cs="仿宋_GB2312"/>
                <w:color w:val="000000"/>
                <w:sz w:val="28"/>
                <w:szCs w:val="28"/>
              </w:rPr>
              <w:t>论点正确，符合实际，表述准确。</w:t>
            </w:r>
            <w:r>
              <w:rPr>
                <w:rFonts w:hint="eastAsia" w:ascii="仿宋_GB2312" w:hAnsi="仿宋_GB2312" w:eastAsia="仿宋_GB2312" w:cs="仿宋_GB2312"/>
                <w:sz w:val="28"/>
                <w:szCs w:val="28"/>
              </w:rPr>
              <w:t xml:space="preserve"> </w:t>
            </w:r>
          </w:p>
        </w:tc>
        <w:tc>
          <w:tcPr>
            <w:tcW w:w="789" w:type="dxa"/>
            <w:vMerge w:val="restart"/>
            <w:vAlign w:val="center"/>
          </w:tcPr>
          <w:p w14:paraId="12BD46D4">
            <w:pPr>
              <w:widowControl/>
              <w:spacing w:line="420" w:lineRule="exact"/>
              <w:rPr>
                <w:rFonts w:hint="eastAsia" w:ascii="仿宋_GB2312" w:hAnsi="仿宋_GB2312" w:eastAsia="仿宋_GB2312" w:cs="仿宋_GB2312"/>
                <w:sz w:val="28"/>
                <w:szCs w:val="28"/>
              </w:rPr>
            </w:pPr>
            <w:r>
              <w:rPr>
                <w:rFonts w:eastAsia="仿宋_GB2312"/>
                <w:sz w:val="28"/>
                <w:szCs w:val="28"/>
              </w:rPr>
              <w:t>20</w:t>
            </w:r>
            <w:r>
              <w:rPr>
                <w:rFonts w:hint="eastAsia" w:ascii="仿宋_GB2312" w:hAnsi="仿宋_GB2312" w:eastAsia="仿宋_GB2312" w:cs="仿宋_GB2312"/>
                <w:sz w:val="28"/>
                <w:szCs w:val="28"/>
              </w:rPr>
              <w:t>分</w:t>
            </w:r>
          </w:p>
        </w:tc>
      </w:tr>
      <w:tr w14:paraId="1E8EFF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16" w:hRule="atLeast"/>
          <w:jc w:val="center"/>
        </w:trPr>
        <w:tc>
          <w:tcPr>
            <w:tcW w:w="1242" w:type="dxa"/>
            <w:vMerge w:val="continue"/>
            <w:vAlign w:val="center"/>
          </w:tcPr>
          <w:p w14:paraId="430D8E2D">
            <w:pPr>
              <w:spacing w:line="420" w:lineRule="exact"/>
              <w:jc w:val="center"/>
              <w:rPr>
                <w:rFonts w:hint="eastAsia" w:ascii="仿宋_GB2312" w:hAnsi="仿宋_GB2312" w:eastAsia="仿宋_GB2312" w:cs="仿宋_GB2312"/>
                <w:sz w:val="28"/>
                <w:szCs w:val="28"/>
              </w:rPr>
            </w:pPr>
          </w:p>
        </w:tc>
        <w:tc>
          <w:tcPr>
            <w:tcW w:w="6845" w:type="dxa"/>
            <w:vAlign w:val="center"/>
          </w:tcPr>
          <w:p w14:paraId="7A142D83">
            <w:pPr>
              <w:spacing w:line="420" w:lineRule="exact"/>
              <w:rPr>
                <w:rFonts w:hint="eastAsia" w:ascii="仿宋_GB2312" w:hAnsi="仿宋_GB2312" w:eastAsia="仿宋_GB2312" w:cs="仿宋_GB2312"/>
                <w:sz w:val="28"/>
                <w:szCs w:val="28"/>
              </w:rPr>
            </w:pPr>
            <w:r>
              <w:rPr>
                <w:rFonts w:eastAsia="仿宋_GB2312"/>
                <w:sz w:val="28"/>
                <w:szCs w:val="28"/>
              </w:rPr>
              <w:t>2.</w:t>
            </w:r>
            <w:r>
              <w:rPr>
                <w:rFonts w:hint="eastAsia" w:ascii="仿宋_GB2312" w:hAnsi="仿宋_GB2312" w:eastAsia="仿宋_GB2312" w:cs="仿宋_GB2312"/>
                <w:sz w:val="28"/>
                <w:szCs w:val="28"/>
              </w:rPr>
              <w:t>论据科学、稳定、严密；实验及调查数据准确可靠，符合教学规律，没有不确定、猜测性的内容。</w:t>
            </w:r>
          </w:p>
        </w:tc>
        <w:tc>
          <w:tcPr>
            <w:tcW w:w="789" w:type="dxa"/>
            <w:vMerge w:val="continue"/>
            <w:vAlign w:val="center"/>
          </w:tcPr>
          <w:p w14:paraId="7322F146">
            <w:pPr>
              <w:spacing w:line="420" w:lineRule="exact"/>
              <w:rPr>
                <w:rFonts w:hint="eastAsia" w:ascii="仿宋_GB2312" w:hAnsi="仿宋_GB2312" w:eastAsia="仿宋_GB2312" w:cs="仿宋_GB2312"/>
                <w:sz w:val="28"/>
                <w:szCs w:val="28"/>
              </w:rPr>
            </w:pPr>
          </w:p>
        </w:tc>
      </w:tr>
      <w:tr w14:paraId="3E7C15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16" w:hRule="atLeast"/>
          <w:jc w:val="center"/>
        </w:trPr>
        <w:tc>
          <w:tcPr>
            <w:tcW w:w="1242" w:type="dxa"/>
            <w:vMerge w:val="continue"/>
            <w:vAlign w:val="center"/>
          </w:tcPr>
          <w:p w14:paraId="6EF9CD38">
            <w:pPr>
              <w:spacing w:line="420" w:lineRule="exact"/>
              <w:jc w:val="center"/>
              <w:rPr>
                <w:rFonts w:hint="eastAsia" w:ascii="仿宋_GB2312" w:hAnsi="仿宋_GB2312" w:eastAsia="仿宋_GB2312" w:cs="仿宋_GB2312"/>
                <w:sz w:val="28"/>
                <w:szCs w:val="28"/>
              </w:rPr>
            </w:pPr>
          </w:p>
        </w:tc>
        <w:tc>
          <w:tcPr>
            <w:tcW w:w="6845" w:type="dxa"/>
            <w:vAlign w:val="center"/>
          </w:tcPr>
          <w:p w14:paraId="0042CFB0">
            <w:pPr>
              <w:spacing w:line="420" w:lineRule="exact"/>
              <w:rPr>
                <w:rFonts w:hint="eastAsia" w:ascii="仿宋_GB2312" w:hAnsi="仿宋_GB2312" w:eastAsia="仿宋_GB2312" w:cs="仿宋_GB2312"/>
                <w:sz w:val="28"/>
                <w:szCs w:val="28"/>
              </w:rPr>
            </w:pPr>
            <w:r>
              <w:rPr>
                <w:rFonts w:eastAsia="仿宋_GB2312"/>
                <w:color w:val="000000"/>
                <w:sz w:val="28"/>
                <w:szCs w:val="28"/>
              </w:rPr>
              <w:t>3.</w:t>
            </w:r>
            <w:r>
              <w:rPr>
                <w:rFonts w:hint="eastAsia" w:ascii="仿宋_GB2312" w:hAnsi="仿宋_GB2312" w:eastAsia="仿宋_GB2312" w:cs="仿宋_GB2312"/>
                <w:color w:val="000000"/>
                <w:sz w:val="28"/>
                <w:szCs w:val="28"/>
              </w:rPr>
              <w:t>研究方法科学，资料数据详实，推理严密，统计分析正确。</w:t>
            </w:r>
          </w:p>
        </w:tc>
        <w:tc>
          <w:tcPr>
            <w:tcW w:w="789" w:type="dxa"/>
            <w:vMerge w:val="continue"/>
            <w:vAlign w:val="center"/>
          </w:tcPr>
          <w:p w14:paraId="1E264D9C">
            <w:pPr>
              <w:spacing w:line="420" w:lineRule="exact"/>
              <w:rPr>
                <w:rFonts w:hint="eastAsia" w:ascii="仿宋_GB2312" w:hAnsi="仿宋_GB2312" w:eastAsia="仿宋_GB2312" w:cs="仿宋_GB2312"/>
                <w:sz w:val="28"/>
                <w:szCs w:val="28"/>
              </w:rPr>
            </w:pPr>
          </w:p>
        </w:tc>
      </w:tr>
      <w:tr w14:paraId="48223B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16" w:hRule="atLeast"/>
          <w:jc w:val="center"/>
        </w:trPr>
        <w:tc>
          <w:tcPr>
            <w:tcW w:w="1242" w:type="dxa"/>
            <w:vMerge w:val="restart"/>
            <w:vAlign w:val="center"/>
          </w:tcPr>
          <w:p w14:paraId="395BDBFE">
            <w:pPr>
              <w:spacing w:line="420" w:lineRule="exact"/>
              <w:jc w:val="center"/>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创新性</w:t>
            </w:r>
          </w:p>
        </w:tc>
        <w:tc>
          <w:tcPr>
            <w:tcW w:w="6845" w:type="dxa"/>
            <w:vAlign w:val="center"/>
          </w:tcPr>
          <w:p w14:paraId="1413664F">
            <w:pPr>
              <w:widowControl/>
              <w:spacing w:line="420" w:lineRule="exact"/>
              <w:rPr>
                <w:rFonts w:hint="eastAsia" w:ascii="仿宋_GB2312" w:hAnsi="仿宋_GB2312" w:eastAsia="仿宋_GB2312" w:cs="仿宋_GB2312"/>
                <w:sz w:val="28"/>
                <w:szCs w:val="28"/>
              </w:rPr>
            </w:pPr>
            <w:r>
              <w:rPr>
                <w:rFonts w:eastAsia="仿宋_GB2312"/>
                <w:sz w:val="28"/>
                <w:szCs w:val="28"/>
              </w:rPr>
              <w:t>1.</w:t>
            </w:r>
            <w:r>
              <w:rPr>
                <w:rFonts w:hint="eastAsia" w:ascii="仿宋_GB2312" w:hAnsi="仿宋_GB2312" w:eastAsia="仿宋_GB2312" w:cs="仿宋_GB2312"/>
                <w:sz w:val="28"/>
                <w:szCs w:val="28"/>
              </w:rPr>
              <w:t>理论创新：结合当前教育数字化的理论研究进展，</w:t>
            </w:r>
            <w:r>
              <w:rPr>
                <w:rFonts w:hint="eastAsia" w:ascii="仿宋_GB2312" w:hAnsi="仿宋_GB2312" w:eastAsia="仿宋_GB2312" w:cs="仿宋_GB2312"/>
                <w:kern w:val="0"/>
                <w:sz w:val="28"/>
                <w:szCs w:val="28"/>
              </w:rPr>
              <w:t>提出新的教育思想、方法和手段，对已有的数字教育理论进行科学的修正和补充，</w:t>
            </w:r>
            <w:r>
              <w:rPr>
                <w:rFonts w:hint="eastAsia" w:ascii="仿宋_GB2312" w:hAnsi="仿宋_GB2312" w:eastAsia="仿宋_GB2312" w:cs="仿宋_GB2312"/>
                <w:sz w:val="28"/>
                <w:szCs w:val="28"/>
              </w:rPr>
              <w:t>而不是对已有研究结论的再次论证。</w:t>
            </w:r>
          </w:p>
        </w:tc>
        <w:tc>
          <w:tcPr>
            <w:tcW w:w="789" w:type="dxa"/>
            <w:vMerge w:val="restart"/>
            <w:vAlign w:val="center"/>
          </w:tcPr>
          <w:p w14:paraId="47489FAB">
            <w:pPr>
              <w:spacing w:line="420" w:lineRule="exact"/>
              <w:rPr>
                <w:rFonts w:hint="eastAsia" w:ascii="仿宋_GB2312" w:hAnsi="仿宋_GB2312" w:eastAsia="仿宋_GB2312" w:cs="仿宋_GB2312"/>
                <w:sz w:val="28"/>
                <w:szCs w:val="28"/>
              </w:rPr>
            </w:pPr>
            <w:r>
              <w:rPr>
                <w:rFonts w:eastAsia="仿宋_GB2312"/>
                <w:sz w:val="28"/>
                <w:szCs w:val="28"/>
              </w:rPr>
              <w:t>30</w:t>
            </w:r>
            <w:r>
              <w:rPr>
                <w:rFonts w:hint="eastAsia" w:ascii="仿宋_GB2312" w:hAnsi="仿宋_GB2312" w:eastAsia="仿宋_GB2312" w:cs="仿宋_GB2312"/>
                <w:sz w:val="28"/>
                <w:szCs w:val="28"/>
              </w:rPr>
              <w:t>分</w:t>
            </w:r>
          </w:p>
        </w:tc>
      </w:tr>
      <w:tr w14:paraId="4EDA05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16" w:hRule="atLeast"/>
          <w:jc w:val="center"/>
        </w:trPr>
        <w:tc>
          <w:tcPr>
            <w:tcW w:w="1242" w:type="dxa"/>
            <w:vMerge w:val="continue"/>
            <w:vAlign w:val="center"/>
          </w:tcPr>
          <w:p w14:paraId="64419E45">
            <w:pPr>
              <w:spacing w:line="420" w:lineRule="exact"/>
              <w:jc w:val="center"/>
              <w:rPr>
                <w:rFonts w:hint="eastAsia" w:ascii="仿宋_GB2312" w:hAnsi="仿宋_GB2312" w:eastAsia="仿宋_GB2312" w:cs="仿宋_GB2312"/>
                <w:sz w:val="28"/>
                <w:szCs w:val="28"/>
              </w:rPr>
            </w:pPr>
          </w:p>
        </w:tc>
        <w:tc>
          <w:tcPr>
            <w:tcW w:w="6845" w:type="dxa"/>
            <w:vAlign w:val="center"/>
          </w:tcPr>
          <w:p w14:paraId="4461B0C1">
            <w:pPr>
              <w:widowControl/>
              <w:spacing w:line="420" w:lineRule="exact"/>
              <w:rPr>
                <w:rFonts w:hint="eastAsia" w:ascii="仿宋_GB2312" w:hAnsi="仿宋_GB2312" w:eastAsia="仿宋_GB2312" w:cs="仿宋_GB2312"/>
                <w:sz w:val="28"/>
                <w:szCs w:val="28"/>
              </w:rPr>
            </w:pPr>
            <w:r>
              <w:rPr>
                <w:rFonts w:eastAsia="仿宋_GB2312"/>
                <w:sz w:val="28"/>
                <w:szCs w:val="28"/>
              </w:rPr>
              <w:t>2.</w:t>
            </w:r>
            <w:r>
              <w:rPr>
                <w:rFonts w:hint="eastAsia" w:ascii="仿宋_GB2312" w:hAnsi="仿宋_GB2312" w:eastAsia="仿宋_GB2312" w:cs="仿宋_GB2312"/>
                <w:sz w:val="28"/>
                <w:szCs w:val="28"/>
              </w:rPr>
              <w:t>实践创新：在数字教育应用实践方面取得创新的进展或突破，有新思考、新方法、新策略、新探索。</w:t>
            </w:r>
          </w:p>
        </w:tc>
        <w:tc>
          <w:tcPr>
            <w:tcW w:w="789" w:type="dxa"/>
            <w:vMerge w:val="continue"/>
            <w:vAlign w:val="center"/>
          </w:tcPr>
          <w:p w14:paraId="72C6C755">
            <w:pPr>
              <w:spacing w:line="420" w:lineRule="exact"/>
              <w:rPr>
                <w:rFonts w:hint="eastAsia" w:ascii="仿宋_GB2312" w:hAnsi="仿宋_GB2312" w:eastAsia="仿宋_GB2312" w:cs="仿宋_GB2312"/>
                <w:sz w:val="28"/>
                <w:szCs w:val="28"/>
              </w:rPr>
            </w:pPr>
          </w:p>
        </w:tc>
      </w:tr>
      <w:tr w14:paraId="500EDA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16" w:hRule="atLeast"/>
          <w:jc w:val="center"/>
        </w:trPr>
        <w:tc>
          <w:tcPr>
            <w:tcW w:w="1242" w:type="dxa"/>
            <w:vMerge w:val="continue"/>
            <w:vAlign w:val="center"/>
          </w:tcPr>
          <w:p w14:paraId="1D0A843D">
            <w:pPr>
              <w:spacing w:line="420" w:lineRule="exact"/>
              <w:jc w:val="center"/>
              <w:rPr>
                <w:rFonts w:hint="eastAsia" w:ascii="仿宋_GB2312" w:hAnsi="仿宋_GB2312" w:eastAsia="仿宋_GB2312" w:cs="仿宋_GB2312"/>
                <w:sz w:val="28"/>
                <w:szCs w:val="28"/>
              </w:rPr>
            </w:pPr>
          </w:p>
        </w:tc>
        <w:tc>
          <w:tcPr>
            <w:tcW w:w="6845" w:type="dxa"/>
            <w:vAlign w:val="center"/>
          </w:tcPr>
          <w:p w14:paraId="377FD826">
            <w:pPr>
              <w:widowControl/>
              <w:spacing w:line="420" w:lineRule="exact"/>
              <w:rPr>
                <w:rFonts w:hint="eastAsia" w:ascii="仿宋_GB2312" w:hAnsi="仿宋_GB2312" w:eastAsia="仿宋_GB2312" w:cs="仿宋_GB2312"/>
                <w:sz w:val="28"/>
                <w:szCs w:val="28"/>
              </w:rPr>
            </w:pPr>
            <w:r>
              <w:rPr>
                <w:rFonts w:eastAsia="仿宋_GB2312"/>
                <w:sz w:val="28"/>
                <w:szCs w:val="28"/>
              </w:rPr>
              <w:t>3.</w:t>
            </w:r>
            <w:r>
              <w:rPr>
                <w:rFonts w:hint="eastAsia" w:ascii="仿宋_GB2312" w:hAnsi="仿宋_GB2312" w:eastAsia="仿宋_GB2312" w:cs="仿宋_GB2312"/>
                <w:sz w:val="28"/>
                <w:szCs w:val="28"/>
              </w:rPr>
              <w:t>方法创新：</w:t>
            </w:r>
            <w:r>
              <w:rPr>
                <w:rFonts w:hint="eastAsia" w:ascii="仿宋_GB2312" w:hAnsi="仿宋_GB2312" w:eastAsia="仿宋_GB2312" w:cs="仿宋_GB2312"/>
                <w:kern w:val="0"/>
                <w:sz w:val="28"/>
                <w:szCs w:val="28"/>
              </w:rPr>
              <w:t>用前沿教育研究方法进行探索和研究。</w:t>
            </w:r>
          </w:p>
        </w:tc>
        <w:tc>
          <w:tcPr>
            <w:tcW w:w="789" w:type="dxa"/>
            <w:vMerge w:val="continue"/>
            <w:vAlign w:val="center"/>
          </w:tcPr>
          <w:p w14:paraId="3E94084A">
            <w:pPr>
              <w:spacing w:line="420" w:lineRule="exact"/>
              <w:rPr>
                <w:rFonts w:hint="eastAsia" w:ascii="仿宋_GB2312" w:hAnsi="仿宋_GB2312" w:eastAsia="仿宋_GB2312" w:cs="仿宋_GB2312"/>
                <w:sz w:val="28"/>
                <w:szCs w:val="28"/>
              </w:rPr>
            </w:pPr>
          </w:p>
        </w:tc>
      </w:tr>
      <w:tr w14:paraId="66FAB4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20" w:hRule="atLeast"/>
          <w:jc w:val="center"/>
        </w:trPr>
        <w:tc>
          <w:tcPr>
            <w:tcW w:w="1242" w:type="dxa"/>
            <w:vMerge w:val="restart"/>
            <w:vAlign w:val="center"/>
          </w:tcPr>
          <w:p w14:paraId="64E4DFA5">
            <w:pPr>
              <w:spacing w:line="420" w:lineRule="exact"/>
              <w:jc w:val="center"/>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规范性</w:t>
            </w:r>
          </w:p>
        </w:tc>
        <w:tc>
          <w:tcPr>
            <w:tcW w:w="6845" w:type="dxa"/>
            <w:vAlign w:val="center"/>
          </w:tcPr>
          <w:p w14:paraId="3B64A265">
            <w:pPr>
              <w:spacing w:line="420" w:lineRule="exact"/>
              <w:rPr>
                <w:rFonts w:hint="eastAsia" w:ascii="仿宋_GB2312" w:hAnsi="仿宋_GB2312" w:eastAsia="仿宋_GB2312" w:cs="仿宋_GB2312"/>
                <w:sz w:val="28"/>
                <w:szCs w:val="28"/>
              </w:rPr>
            </w:pPr>
            <w:r>
              <w:rPr>
                <w:rFonts w:eastAsia="仿宋_GB2312"/>
                <w:sz w:val="28"/>
                <w:szCs w:val="28"/>
              </w:rPr>
              <w:t>1.</w:t>
            </w:r>
            <w:r>
              <w:rPr>
                <w:rFonts w:hint="eastAsia" w:ascii="仿宋_GB2312" w:hAnsi="仿宋_GB2312" w:eastAsia="仿宋_GB2312" w:cs="仿宋_GB2312"/>
                <w:sz w:val="28"/>
                <w:szCs w:val="28"/>
              </w:rPr>
              <w:t>文章体例严谨（有关键词、摘要、正文和参考文献等，篇幅</w:t>
            </w:r>
            <w:r>
              <w:rPr>
                <w:rFonts w:eastAsia="仿宋_GB2312"/>
                <w:sz w:val="28"/>
                <w:szCs w:val="28"/>
              </w:rPr>
              <w:t>5000～8000</w:t>
            </w:r>
            <w:r>
              <w:rPr>
                <w:rFonts w:hint="eastAsia" w:ascii="仿宋_GB2312" w:hAnsi="仿宋_GB2312" w:eastAsia="仿宋_GB2312" w:cs="仿宋_GB2312"/>
                <w:sz w:val="28"/>
                <w:szCs w:val="28"/>
              </w:rPr>
              <w:t>字），论述严谨，逻辑性强。</w:t>
            </w:r>
          </w:p>
        </w:tc>
        <w:tc>
          <w:tcPr>
            <w:tcW w:w="789" w:type="dxa"/>
            <w:vMerge w:val="restart"/>
            <w:vAlign w:val="center"/>
          </w:tcPr>
          <w:p w14:paraId="1EB6D449">
            <w:pPr>
              <w:spacing w:line="420" w:lineRule="exact"/>
              <w:rPr>
                <w:rFonts w:hint="eastAsia" w:ascii="仿宋_GB2312" w:hAnsi="仿宋_GB2312" w:eastAsia="仿宋_GB2312" w:cs="仿宋_GB2312"/>
                <w:sz w:val="28"/>
                <w:szCs w:val="28"/>
              </w:rPr>
            </w:pPr>
            <w:r>
              <w:rPr>
                <w:rFonts w:eastAsia="仿宋_GB2312"/>
                <w:sz w:val="28"/>
                <w:szCs w:val="28"/>
              </w:rPr>
              <w:t>20</w:t>
            </w:r>
            <w:r>
              <w:rPr>
                <w:rFonts w:hint="eastAsia" w:ascii="仿宋_GB2312" w:hAnsi="仿宋_GB2312" w:eastAsia="仿宋_GB2312" w:cs="仿宋_GB2312"/>
                <w:sz w:val="28"/>
                <w:szCs w:val="28"/>
              </w:rPr>
              <w:t>分</w:t>
            </w:r>
          </w:p>
        </w:tc>
      </w:tr>
      <w:tr w14:paraId="6EA099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58" w:hRule="atLeast"/>
          <w:jc w:val="center"/>
        </w:trPr>
        <w:tc>
          <w:tcPr>
            <w:tcW w:w="1242" w:type="dxa"/>
            <w:vMerge w:val="continue"/>
            <w:vAlign w:val="center"/>
          </w:tcPr>
          <w:p w14:paraId="3AFCFCF0">
            <w:pPr>
              <w:spacing w:line="420" w:lineRule="exact"/>
              <w:jc w:val="center"/>
              <w:rPr>
                <w:rFonts w:hint="eastAsia" w:ascii="仿宋_GB2312" w:hAnsi="仿宋_GB2312" w:eastAsia="仿宋_GB2312" w:cs="仿宋_GB2312"/>
                <w:sz w:val="28"/>
                <w:szCs w:val="28"/>
              </w:rPr>
            </w:pPr>
          </w:p>
        </w:tc>
        <w:tc>
          <w:tcPr>
            <w:tcW w:w="6845" w:type="dxa"/>
            <w:vAlign w:val="center"/>
          </w:tcPr>
          <w:p w14:paraId="1680462D">
            <w:pPr>
              <w:spacing w:line="420" w:lineRule="exact"/>
              <w:rPr>
                <w:rFonts w:hint="eastAsia" w:ascii="仿宋_GB2312" w:hAnsi="仿宋_GB2312" w:eastAsia="仿宋_GB2312" w:cs="仿宋_GB2312"/>
                <w:sz w:val="28"/>
                <w:szCs w:val="28"/>
              </w:rPr>
            </w:pPr>
            <w:r>
              <w:rPr>
                <w:rFonts w:eastAsia="仿宋_GB2312"/>
                <w:color w:val="000000"/>
                <w:sz w:val="28"/>
                <w:szCs w:val="28"/>
              </w:rPr>
              <w:t>2.</w:t>
            </w:r>
            <w:r>
              <w:rPr>
                <w:rFonts w:hint="eastAsia" w:ascii="仿宋_GB2312" w:hAnsi="仿宋_GB2312" w:eastAsia="仿宋_GB2312" w:cs="仿宋_GB2312"/>
                <w:color w:val="000000"/>
                <w:sz w:val="28"/>
                <w:szCs w:val="28"/>
              </w:rPr>
              <w:t xml:space="preserve">概念表述清晰准确。 </w:t>
            </w:r>
          </w:p>
        </w:tc>
        <w:tc>
          <w:tcPr>
            <w:tcW w:w="789" w:type="dxa"/>
            <w:vMerge w:val="continue"/>
            <w:vAlign w:val="center"/>
          </w:tcPr>
          <w:p w14:paraId="5210EEA9">
            <w:pPr>
              <w:spacing w:line="420" w:lineRule="exact"/>
              <w:rPr>
                <w:rFonts w:hint="eastAsia" w:ascii="仿宋_GB2312" w:hAnsi="仿宋_GB2312" w:eastAsia="仿宋_GB2312" w:cs="仿宋_GB2312"/>
                <w:sz w:val="28"/>
                <w:szCs w:val="28"/>
              </w:rPr>
            </w:pPr>
          </w:p>
        </w:tc>
      </w:tr>
      <w:tr w14:paraId="5D2248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55" w:hRule="atLeast"/>
          <w:jc w:val="center"/>
        </w:trPr>
        <w:tc>
          <w:tcPr>
            <w:tcW w:w="1242" w:type="dxa"/>
            <w:vMerge w:val="continue"/>
            <w:vAlign w:val="center"/>
          </w:tcPr>
          <w:p w14:paraId="2235F6E5">
            <w:pPr>
              <w:spacing w:line="420" w:lineRule="exact"/>
              <w:jc w:val="center"/>
              <w:rPr>
                <w:rFonts w:hint="eastAsia" w:ascii="仿宋_GB2312" w:hAnsi="仿宋_GB2312" w:eastAsia="仿宋_GB2312" w:cs="仿宋_GB2312"/>
                <w:sz w:val="28"/>
                <w:szCs w:val="28"/>
              </w:rPr>
            </w:pPr>
          </w:p>
        </w:tc>
        <w:tc>
          <w:tcPr>
            <w:tcW w:w="6845" w:type="dxa"/>
            <w:vAlign w:val="center"/>
          </w:tcPr>
          <w:p w14:paraId="0B4D7AF3">
            <w:pPr>
              <w:spacing w:line="420" w:lineRule="exact"/>
              <w:rPr>
                <w:rFonts w:hint="eastAsia" w:ascii="仿宋_GB2312" w:hAnsi="仿宋_GB2312" w:eastAsia="仿宋_GB2312" w:cs="仿宋_GB2312"/>
                <w:sz w:val="28"/>
                <w:szCs w:val="28"/>
              </w:rPr>
            </w:pPr>
            <w:r>
              <w:rPr>
                <w:rFonts w:eastAsia="仿宋_GB2312"/>
                <w:color w:val="000000"/>
                <w:sz w:val="28"/>
                <w:szCs w:val="28"/>
              </w:rPr>
              <w:t>3.</w:t>
            </w:r>
            <w:r>
              <w:rPr>
                <w:rFonts w:hint="eastAsia" w:ascii="仿宋_GB2312" w:hAnsi="仿宋_GB2312" w:eastAsia="仿宋_GB2312" w:cs="仿宋_GB2312"/>
                <w:color w:val="000000"/>
                <w:sz w:val="28"/>
                <w:szCs w:val="28"/>
              </w:rPr>
              <w:t>内容和纲要切题，</w:t>
            </w:r>
            <w:r>
              <w:rPr>
                <w:rFonts w:hint="eastAsia" w:ascii="仿宋_GB2312" w:hAnsi="仿宋_GB2312" w:eastAsia="仿宋_GB2312" w:cs="仿宋_GB2312"/>
                <w:sz w:val="28"/>
                <w:szCs w:val="28"/>
              </w:rPr>
              <w:t>引用规范，图表制作精确。</w:t>
            </w:r>
          </w:p>
        </w:tc>
        <w:tc>
          <w:tcPr>
            <w:tcW w:w="789" w:type="dxa"/>
            <w:vMerge w:val="continue"/>
            <w:vAlign w:val="center"/>
          </w:tcPr>
          <w:p w14:paraId="367261E4">
            <w:pPr>
              <w:spacing w:line="420" w:lineRule="exact"/>
              <w:rPr>
                <w:rFonts w:hint="eastAsia" w:ascii="仿宋_GB2312" w:hAnsi="仿宋_GB2312" w:eastAsia="仿宋_GB2312" w:cs="仿宋_GB2312"/>
                <w:sz w:val="28"/>
                <w:szCs w:val="28"/>
              </w:rPr>
            </w:pPr>
          </w:p>
        </w:tc>
      </w:tr>
      <w:tr w14:paraId="73A6CC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58" w:hRule="atLeast"/>
          <w:jc w:val="center"/>
        </w:trPr>
        <w:tc>
          <w:tcPr>
            <w:tcW w:w="1242" w:type="dxa"/>
            <w:vMerge w:val="continue"/>
            <w:vAlign w:val="center"/>
          </w:tcPr>
          <w:p w14:paraId="074C42A4">
            <w:pPr>
              <w:spacing w:line="420" w:lineRule="exact"/>
              <w:jc w:val="center"/>
              <w:rPr>
                <w:rFonts w:hint="eastAsia" w:ascii="仿宋_GB2312" w:hAnsi="仿宋_GB2312" w:eastAsia="仿宋_GB2312" w:cs="仿宋_GB2312"/>
                <w:sz w:val="28"/>
                <w:szCs w:val="28"/>
              </w:rPr>
            </w:pPr>
          </w:p>
        </w:tc>
        <w:tc>
          <w:tcPr>
            <w:tcW w:w="6845" w:type="dxa"/>
            <w:vAlign w:val="center"/>
          </w:tcPr>
          <w:p w14:paraId="13A53CDC">
            <w:pPr>
              <w:spacing w:line="420" w:lineRule="exact"/>
              <w:rPr>
                <w:rFonts w:hint="eastAsia" w:ascii="仿宋_GB2312" w:hAnsi="仿宋_GB2312" w:eastAsia="仿宋_GB2312" w:cs="仿宋_GB2312"/>
                <w:sz w:val="28"/>
                <w:szCs w:val="28"/>
              </w:rPr>
            </w:pPr>
            <w:r>
              <w:rPr>
                <w:rFonts w:eastAsia="仿宋_GB2312"/>
                <w:sz w:val="28"/>
                <w:szCs w:val="28"/>
              </w:rPr>
              <w:t>4.</w:t>
            </w:r>
            <w:r>
              <w:rPr>
                <w:rFonts w:hint="eastAsia" w:ascii="仿宋_GB2312" w:hAnsi="仿宋_GB2312" w:eastAsia="仿宋_GB2312" w:cs="仿宋_GB2312"/>
                <w:sz w:val="28"/>
                <w:szCs w:val="28"/>
              </w:rPr>
              <w:t>无知识性和常识性错误，文笔流畅，文字优美</w:t>
            </w:r>
            <w:r>
              <w:rPr>
                <w:rFonts w:hint="eastAsia" w:ascii="仿宋_GB2312" w:hAnsi="仿宋_GB2312" w:eastAsia="仿宋_GB2312" w:cs="仿宋_GB2312"/>
                <w:color w:val="000000"/>
                <w:sz w:val="28"/>
                <w:szCs w:val="28"/>
              </w:rPr>
              <w:t>，</w:t>
            </w:r>
            <w:r>
              <w:rPr>
                <w:rFonts w:hint="eastAsia" w:ascii="仿宋_GB2312" w:hAnsi="仿宋_GB2312" w:eastAsia="仿宋_GB2312" w:cs="仿宋_GB2312"/>
                <w:sz w:val="28"/>
                <w:szCs w:val="28"/>
              </w:rPr>
              <w:t>可读性强。</w:t>
            </w:r>
          </w:p>
        </w:tc>
        <w:tc>
          <w:tcPr>
            <w:tcW w:w="789" w:type="dxa"/>
            <w:vMerge w:val="continue"/>
            <w:vAlign w:val="center"/>
          </w:tcPr>
          <w:p w14:paraId="451C8F00">
            <w:pPr>
              <w:spacing w:line="420" w:lineRule="exact"/>
              <w:rPr>
                <w:rFonts w:hint="eastAsia" w:ascii="仿宋_GB2312" w:hAnsi="仿宋_GB2312" w:eastAsia="仿宋_GB2312" w:cs="仿宋_GB2312"/>
                <w:sz w:val="28"/>
                <w:szCs w:val="28"/>
              </w:rPr>
            </w:pPr>
          </w:p>
        </w:tc>
      </w:tr>
      <w:tr w14:paraId="4F2401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55" w:hRule="atLeast"/>
          <w:jc w:val="center"/>
        </w:trPr>
        <w:tc>
          <w:tcPr>
            <w:tcW w:w="1242" w:type="dxa"/>
            <w:vAlign w:val="center"/>
          </w:tcPr>
          <w:p w14:paraId="6112E584">
            <w:pPr>
              <w:spacing w:line="420" w:lineRule="exact"/>
              <w:jc w:val="center"/>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实践性</w:t>
            </w:r>
          </w:p>
        </w:tc>
        <w:tc>
          <w:tcPr>
            <w:tcW w:w="6845" w:type="dxa"/>
            <w:vAlign w:val="center"/>
          </w:tcPr>
          <w:p w14:paraId="2CFBF077">
            <w:pPr>
              <w:widowControl/>
              <w:spacing w:line="420" w:lineRule="exact"/>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教师能够结合教育教学实际，充分利用数字教育资源、产品（如“和教育”教育产品等）以及智慧教育平台（如“和教育”平台等）进行论文创作。如有使用国家中小学智慧教育平台、探索平台应用、实现教学创新，可作为论文亮点进行加分。</w:t>
            </w:r>
          </w:p>
        </w:tc>
        <w:tc>
          <w:tcPr>
            <w:tcW w:w="789" w:type="dxa"/>
            <w:vAlign w:val="center"/>
          </w:tcPr>
          <w:p w14:paraId="5844D434">
            <w:pPr>
              <w:widowControl/>
              <w:spacing w:line="420" w:lineRule="exact"/>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附加分</w:t>
            </w:r>
          </w:p>
          <w:p w14:paraId="638DB9F6">
            <w:pPr>
              <w:widowControl/>
              <w:spacing w:line="420" w:lineRule="exact"/>
              <w:rPr>
                <w:rFonts w:hint="eastAsia" w:ascii="仿宋_GB2312" w:hAnsi="仿宋_GB2312" w:eastAsia="仿宋_GB2312" w:cs="仿宋_GB2312"/>
                <w:sz w:val="28"/>
                <w:szCs w:val="28"/>
              </w:rPr>
            </w:pPr>
            <w:r>
              <w:rPr>
                <w:rFonts w:eastAsia="仿宋_GB2312"/>
                <w:sz w:val="28"/>
                <w:szCs w:val="28"/>
              </w:rPr>
              <w:t>5</w:t>
            </w:r>
            <w:r>
              <w:rPr>
                <w:rFonts w:hint="eastAsia" w:ascii="仿宋_GB2312" w:hAnsi="仿宋_GB2312" w:eastAsia="仿宋_GB2312" w:cs="仿宋_GB2312"/>
                <w:sz w:val="28"/>
                <w:szCs w:val="28"/>
              </w:rPr>
              <w:t>分</w:t>
            </w:r>
          </w:p>
        </w:tc>
      </w:tr>
    </w:tbl>
    <w:p w14:paraId="5676C2E1">
      <w:pPr>
        <w:spacing w:line="460" w:lineRule="exact"/>
        <w:rPr>
          <w:rFonts w:eastAsia="仿宋_GB2312" w:cs="仿宋_GB2312"/>
          <w:color w:val="000000"/>
          <w:spacing w:val="-20"/>
          <w:sz w:val="28"/>
          <w:szCs w:val="28"/>
        </w:rPr>
      </w:pPr>
      <w:r>
        <w:rPr>
          <w:rFonts w:hint="eastAsia" w:eastAsia="仿宋_GB2312" w:cs="仿宋_GB2312"/>
          <w:color w:val="000000"/>
          <w:spacing w:val="-20"/>
          <w:szCs w:val="21"/>
        </w:rPr>
        <w:t xml:space="preserve">注：重复率超过要求和人工智能使用不规范的论文，取消推荐资格。   </w:t>
      </w:r>
    </w:p>
    <w:sectPr>
      <w:footerReference r:id="rId6" w:type="default"/>
      <w:pgSz w:w="11907" w:h="16840"/>
      <w:pgMar w:top="1440" w:right="1797" w:bottom="1440" w:left="1797" w:header="851" w:footer="992" w:gutter="0"/>
      <w:pgNumType w:fmt="numberInDash"/>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309B77DB-7F29-4EF3-89F3-88584F923A59}"/>
  </w:font>
  <w:font w:name="Arial">
    <w:panose1 w:val="020B0604020202020204"/>
    <w:charset w:val="01"/>
    <w:family w:val="swiss"/>
    <w:pitch w:val="default"/>
    <w:sig w:usb0="E0002AFF" w:usb1="C0007843" w:usb2="00000009" w:usb3="00000000" w:csb0="400001FF" w:csb1="FFFF0000"/>
    <w:embedRegular r:id="rId2" w:fontKey="{251DAEBA-9D8E-410A-92BD-141FCD8E9366}"/>
  </w:font>
  <w:font w:name="黑体">
    <w:panose1 w:val="02010609060101010101"/>
    <w:charset w:val="86"/>
    <w:family w:val="auto"/>
    <w:pitch w:val="default"/>
    <w:sig w:usb0="800002BF" w:usb1="38CF7CFA" w:usb2="00000016" w:usb3="00000000" w:csb0="00040001" w:csb1="00000000"/>
    <w:embedRegular r:id="rId3" w:fontKey="{BEDB8E6B-6E00-4FB6-B81A-3897F9971E7E}"/>
  </w:font>
  <w:font w:name="Courier New">
    <w:panose1 w:val="02070309020205020404"/>
    <w:charset w:val="01"/>
    <w:family w:val="modern"/>
    <w:pitch w:val="default"/>
    <w:sig w:usb0="E0002AFF" w:usb1="C0007843" w:usb2="00000009" w:usb3="00000000" w:csb0="400001FF" w:csb1="FFFF0000"/>
    <w:embedRegular r:id="rId4" w:fontKey="{5EA17A19-95AC-40EF-B57B-18382E5BEBED}"/>
  </w:font>
  <w:font w:name="Symbol">
    <w:panose1 w:val="05050102010706020507"/>
    <w:charset w:val="02"/>
    <w:family w:val="roman"/>
    <w:pitch w:val="default"/>
    <w:sig w:usb0="00000000" w:usb1="00000000" w:usb2="00000000" w:usb3="00000000" w:csb0="80000000" w:csb1="00000000"/>
    <w:embedRegular r:id="rId5" w:fontKey="{A4873678-C08F-41E4-8010-DDFFFC68F017}"/>
  </w:font>
  <w:font w:name="Calibri">
    <w:panose1 w:val="020F0502020204030204"/>
    <w:charset w:val="00"/>
    <w:family w:val="swiss"/>
    <w:pitch w:val="default"/>
    <w:sig w:usb0="E10002FF" w:usb1="4000ACFF" w:usb2="00000009" w:usb3="00000000" w:csb0="2000019F" w:csb1="00000000"/>
    <w:embedRegular r:id="rId6" w:fontKey="{E775F430-B392-4896-AE04-68458F304E93}"/>
  </w:font>
  <w:font w:name="楷体_GB2312">
    <w:panose1 w:val="02010609030101010101"/>
    <w:charset w:val="86"/>
    <w:family w:val="modern"/>
    <w:pitch w:val="default"/>
    <w:sig w:usb0="00000001" w:usb1="080E0000" w:usb2="00000000" w:usb3="00000000" w:csb0="00040000" w:csb1="00000000"/>
    <w:embedRegular r:id="rId7" w:fontKey="{E8433393-B30C-4EF6-BAE0-513F905720F8}"/>
  </w:font>
  <w:font w:name="仿宋_GB2312">
    <w:panose1 w:val="02010609030101010101"/>
    <w:charset w:val="86"/>
    <w:family w:val="modern"/>
    <w:pitch w:val="default"/>
    <w:sig w:usb0="00000001" w:usb1="080E0000" w:usb2="00000000" w:usb3="00000000" w:csb0="00040000" w:csb1="00000000"/>
    <w:embedRegular r:id="rId8" w:fontKey="{49C36A8D-3143-47E0-8649-EA533F85120E}"/>
  </w:font>
  <w:font w:name="方正仿宋_GB2312">
    <w:altName w:val="仿宋"/>
    <w:panose1 w:val="00000000000000000000"/>
    <w:charset w:val="86"/>
    <w:family w:val="auto"/>
    <w:pitch w:val="default"/>
    <w:sig w:usb0="00000000" w:usb1="00000000" w:usb2="00000012" w:usb3="00000000" w:csb0="00040001" w:csb1="00000000"/>
    <w:embedRegular r:id="rId9" w:fontKey="{22FA8A95-817C-44C6-A565-5AB760B08A3C}"/>
  </w:font>
  <w:font w:name="仿宋">
    <w:panose1 w:val="02010609060101010101"/>
    <w:charset w:val="86"/>
    <w:family w:val="modern"/>
    <w:pitch w:val="default"/>
    <w:sig w:usb0="800002BF" w:usb1="38CF7CFA" w:usb2="00000016" w:usb3="00000000" w:csb0="00040001" w:csb1="00000000"/>
  </w:font>
  <w:font w:name="方正小标宋简体">
    <w:panose1 w:val="02010601030101010101"/>
    <w:charset w:val="86"/>
    <w:family w:val="auto"/>
    <w:pitch w:val="default"/>
    <w:sig w:usb0="00000001" w:usb1="080E0000" w:usb2="00000000" w:usb3="00000000" w:csb0="00040000" w:csb1="00000000"/>
  </w:font>
  <w:font w:name="楷体">
    <w:panose1 w:val="02010609060101010101"/>
    <w:charset w:val="86"/>
    <w:family w:val="modern"/>
    <w:pitch w:val="default"/>
    <w:sig w:usb0="800002BF" w:usb1="38CF7CFA" w:usb2="00000016" w:usb3="00000000" w:csb0="00040001" w:csb1="00000000"/>
    <w:embedRegular r:id="rId10" w:fontKey="{4DE4C0F5-96C4-47C9-B435-AACA32AFBF7F}"/>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F2C71DB">
    <w:pPr>
      <w:pStyle w:val="8"/>
      <w:jc w:val="center"/>
    </w:pPr>
    <w:r>
      <w:fldChar w:fldCharType="begin"/>
    </w:r>
    <w:r>
      <w:instrText xml:space="preserve">PAGE   \* MERGEFORMAT</w:instrText>
    </w:r>
    <w:r>
      <w:fldChar w:fldCharType="separate"/>
    </w:r>
    <w:r>
      <w:rPr>
        <w:lang w:val="zh-CN"/>
      </w:rPr>
      <w:t>-</w:t>
    </w:r>
    <w:r>
      <w:t xml:space="preserve"> 4 -</w:t>
    </w:r>
    <w:r>
      <w:fldChar w:fldCharType="end"/>
    </w:r>
  </w:p>
  <w:p w14:paraId="1718C0CB">
    <w:pPr>
      <w:pStyle w:val="8"/>
      <w:jc w:val="cen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94BD697">
    <w:pPr>
      <w:pStyle w:val="8"/>
      <w:tabs>
        <w:tab w:val="center" w:pos="4156"/>
        <w:tab w:val="right" w:pos="8312"/>
        <w:tab w:val="clear" w:pos="4153"/>
        <w:tab w:val="clear" w:pos="8306"/>
      </w:tabs>
      <w:rPr>
        <w:color w:val="FFFFFF"/>
      </w:rPr>
    </w:pPr>
    <w:r>
      <w:rPr>
        <w:color w:val="FFFFFF"/>
      </w:rPr>
      <w:tab/>
    </w:r>
    <w:r>
      <w:rPr>
        <w:color w:val="FFFFFF"/>
      </w:rPr>
      <w:fldChar w:fldCharType="begin"/>
    </w:r>
    <w:r>
      <w:rPr>
        <w:color w:val="FFFFFF"/>
      </w:rPr>
      <w:instrText xml:space="preserve">PAGE   \* MERGEFORMAT</w:instrText>
    </w:r>
    <w:r>
      <w:rPr>
        <w:color w:val="FFFFFF"/>
      </w:rPr>
      <w:fldChar w:fldCharType="separate"/>
    </w:r>
    <w:r>
      <w:rPr>
        <w:color w:val="FFFFFF"/>
        <w:lang w:val="zh-CN"/>
      </w:rPr>
      <w:t>-</w:t>
    </w:r>
    <w:r>
      <w:rPr>
        <w:color w:val="FFFFFF"/>
      </w:rPr>
      <w:t xml:space="preserve"> 1 -</w:t>
    </w:r>
    <w:r>
      <w:rPr>
        <w:color w:val="FFFFFF"/>
      </w:rPr>
      <w:fldChar w:fldCharType="end"/>
    </w:r>
    <w:r>
      <w:rPr>
        <w:color w:val="FFFFFF"/>
      </w:rPr>
      <w:tab/>
    </w:r>
    <w:r>
      <w:rPr>
        <w:color w:val="FFFFFF"/>
      </w:rPr>
      <w:tab/>
    </w:r>
  </w:p>
  <w:p w14:paraId="3D740631">
    <w:pPr>
      <w:pStyle w:val="8"/>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55BB053">
    <w:pPr>
      <w:pStyle w:val="8"/>
      <w:jc w:val="cen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DB27BD5">
    <w:pPr>
      <w:pStyle w:val="8"/>
      <w:jc w:val="center"/>
    </w:pPr>
    <w:r>
      <w:fldChar w:fldCharType="begin"/>
    </w:r>
    <w:r>
      <w:instrText xml:space="preserve">PAGE   \* MERGEFORMAT</w:instrText>
    </w:r>
    <w:r>
      <w:fldChar w:fldCharType="separate"/>
    </w:r>
    <w:r>
      <w:rPr>
        <w:lang w:val="zh-CN"/>
      </w:rPr>
      <w:t>-</w:t>
    </w:r>
    <w:r>
      <w:t xml:space="preserve"> 4 -</w:t>
    </w:r>
    <w:r>
      <w:fldChar w:fldCharType="end"/>
    </w:r>
  </w:p>
  <w:p w14:paraId="434598A2">
    <w:pPr>
      <w:pStyle w:val="8"/>
      <w:jc w:val="center"/>
    </w:pP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embedTrueTypeFonts/>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HorizontalSpacing w:val="105"/>
  <w:drawingGridVerticalSpacing w:val="156"/>
  <w:displayHorizontalDrawingGridEvery w:val="2"/>
  <w:displayVerticalDrawingGridEvery w:val="2"/>
  <w:noPunctuationKerning w:val="1"/>
  <w:characterSpacingControl w:val="compressPunctuation"/>
  <w:doNotValidateAgainstSchema/>
  <w:doNotDemarcateInvalidXml/>
  <w:footnotePr>
    <w:pos w:val="beneathText"/>
    <w:numRestart w:val="eachPage"/>
  </w:footnotePr>
  <w:compat>
    <w:spaceForUL/>
    <w:balanceSingleByteDoubleByteWidth/>
    <w:doNotLeaveBackslashAlon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2A27"/>
    <w:rsid w:val="0000007B"/>
    <w:rsid w:val="000031CC"/>
    <w:rsid w:val="000035DE"/>
    <w:rsid w:val="000037C1"/>
    <w:rsid w:val="00003D6E"/>
    <w:rsid w:val="00003EC8"/>
    <w:rsid w:val="00004CC3"/>
    <w:rsid w:val="000055ED"/>
    <w:rsid w:val="00005906"/>
    <w:rsid w:val="000064EB"/>
    <w:rsid w:val="00011F4D"/>
    <w:rsid w:val="0001323A"/>
    <w:rsid w:val="00013675"/>
    <w:rsid w:val="000218E9"/>
    <w:rsid w:val="0002216C"/>
    <w:rsid w:val="000225C6"/>
    <w:rsid w:val="00023690"/>
    <w:rsid w:val="00025044"/>
    <w:rsid w:val="0002514C"/>
    <w:rsid w:val="000279ED"/>
    <w:rsid w:val="00030938"/>
    <w:rsid w:val="00030B68"/>
    <w:rsid w:val="000339AB"/>
    <w:rsid w:val="00034222"/>
    <w:rsid w:val="00034B4E"/>
    <w:rsid w:val="000353B6"/>
    <w:rsid w:val="00037DFA"/>
    <w:rsid w:val="0004074F"/>
    <w:rsid w:val="000411A6"/>
    <w:rsid w:val="00042467"/>
    <w:rsid w:val="00043500"/>
    <w:rsid w:val="00043EA4"/>
    <w:rsid w:val="000448A6"/>
    <w:rsid w:val="00045FC9"/>
    <w:rsid w:val="00046608"/>
    <w:rsid w:val="00047929"/>
    <w:rsid w:val="000510A2"/>
    <w:rsid w:val="00052F4D"/>
    <w:rsid w:val="0005504C"/>
    <w:rsid w:val="00055145"/>
    <w:rsid w:val="0005521A"/>
    <w:rsid w:val="00057F72"/>
    <w:rsid w:val="0006099A"/>
    <w:rsid w:val="00060E4E"/>
    <w:rsid w:val="000628AE"/>
    <w:rsid w:val="000639FD"/>
    <w:rsid w:val="00063C8A"/>
    <w:rsid w:val="00064000"/>
    <w:rsid w:val="00070107"/>
    <w:rsid w:val="000730E8"/>
    <w:rsid w:val="00075CEC"/>
    <w:rsid w:val="00076A82"/>
    <w:rsid w:val="00080B30"/>
    <w:rsid w:val="00081F3F"/>
    <w:rsid w:val="00082FD7"/>
    <w:rsid w:val="0008402C"/>
    <w:rsid w:val="00084540"/>
    <w:rsid w:val="00084F46"/>
    <w:rsid w:val="000854C0"/>
    <w:rsid w:val="000857E2"/>
    <w:rsid w:val="00091F3A"/>
    <w:rsid w:val="000932E3"/>
    <w:rsid w:val="00093A61"/>
    <w:rsid w:val="00096DAD"/>
    <w:rsid w:val="000A0423"/>
    <w:rsid w:val="000A1171"/>
    <w:rsid w:val="000A17D2"/>
    <w:rsid w:val="000A4606"/>
    <w:rsid w:val="000A5267"/>
    <w:rsid w:val="000A5B81"/>
    <w:rsid w:val="000A60AF"/>
    <w:rsid w:val="000A619C"/>
    <w:rsid w:val="000A7117"/>
    <w:rsid w:val="000A7B09"/>
    <w:rsid w:val="000B1341"/>
    <w:rsid w:val="000B3E4E"/>
    <w:rsid w:val="000B5C54"/>
    <w:rsid w:val="000C4A99"/>
    <w:rsid w:val="000C5247"/>
    <w:rsid w:val="000C5689"/>
    <w:rsid w:val="000C6AD9"/>
    <w:rsid w:val="000C7B16"/>
    <w:rsid w:val="000D0A8D"/>
    <w:rsid w:val="000D2A15"/>
    <w:rsid w:val="000D4BAC"/>
    <w:rsid w:val="000D787C"/>
    <w:rsid w:val="000E0D92"/>
    <w:rsid w:val="000E162E"/>
    <w:rsid w:val="000E17B4"/>
    <w:rsid w:val="000E1F7A"/>
    <w:rsid w:val="000F0A07"/>
    <w:rsid w:val="000F129C"/>
    <w:rsid w:val="000F2307"/>
    <w:rsid w:val="000F3491"/>
    <w:rsid w:val="000F3E8E"/>
    <w:rsid w:val="000F4311"/>
    <w:rsid w:val="000F5D87"/>
    <w:rsid w:val="000F725F"/>
    <w:rsid w:val="00100E9C"/>
    <w:rsid w:val="00101298"/>
    <w:rsid w:val="00103B9F"/>
    <w:rsid w:val="00104CAF"/>
    <w:rsid w:val="00105E07"/>
    <w:rsid w:val="00110434"/>
    <w:rsid w:val="001109E7"/>
    <w:rsid w:val="00110D24"/>
    <w:rsid w:val="00110E11"/>
    <w:rsid w:val="00111976"/>
    <w:rsid w:val="00112F84"/>
    <w:rsid w:val="00113424"/>
    <w:rsid w:val="001138C0"/>
    <w:rsid w:val="00113AEC"/>
    <w:rsid w:val="00115605"/>
    <w:rsid w:val="001166EE"/>
    <w:rsid w:val="00117CA8"/>
    <w:rsid w:val="00122E2A"/>
    <w:rsid w:val="00123201"/>
    <w:rsid w:val="0012329C"/>
    <w:rsid w:val="0012528C"/>
    <w:rsid w:val="00125BB9"/>
    <w:rsid w:val="00126E1A"/>
    <w:rsid w:val="0012745D"/>
    <w:rsid w:val="001277D3"/>
    <w:rsid w:val="00127B17"/>
    <w:rsid w:val="00131850"/>
    <w:rsid w:val="0013485A"/>
    <w:rsid w:val="00134895"/>
    <w:rsid w:val="00136BF0"/>
    <w:rsid w:val="00137625"/>
    <w:rsid w:val="00137A94"/>
    <w:rsid w:val="001414F4"/>
    <w:rsid w:val="00141D30"/>
    <w:rsid w:val="001429D9"/>
    <w:rsid w:val="00143721"/>
    <w:rsid w:val="001448C4"/>
    <w:rsid w:val="00144B8D"/>
    <w:rsid w:val="00146327"/>
    <w:rsid w:val="001466F6"/>
    <w:rsid w:val="00147A3F"/>
    <w:rsid w:val="0015061F"/>
    <w:rsid w:val="00154AEA"/>
    <w:rsid w:val="00154D79"/>
    <w:rsid w:val="001564CA"/>
    <w:rsid w:val="001564EA"/>
    <w:rsid w:val="001569D6"/>
    <w:rsid w:val="00156F40"/>
    <w:rsid w:val="0015796B"/>
    <w:rsid w:val="001617C1"/>
    <w:rsid w:val="00162FFA"/>
    <w:rsid w:val="0016393D"/>
    <w:rsid w:val="001646C6"/>
    <w:rsid w:val="00166BCA"/>
    <w:rsid w:val="00172846"/>
    <w:rsid w:val="00172A27"/>
    <w:rsid w:val="00172F37"/>
    <w:rsid w:val="00174167"/>
    <w:rsid w:val="00174255"/>
    <w:rsid w:val="00174258"/>
    <w:rsid w:val="00174438"/>
    <w:rsid w:val="00175355"/>
    <w:rsid w:val="00175E62"/>
    <w:rsid w:val="0017607D"/>
    <w:rsid w:val="00176229"/>
    <w:rsid w:val="001774CC"/>
    <w:rsid w:val="001807D5"/>
    <w:rsid w:val="00183AA5"/>
    <w:rsid w:val="00185C98"/>
    <w:rsid w:val="00186BC2"/>
    <w:rsid w:val="00193B7A"/>
    <w:rsid w:val="00193FE8"/>
    <w:rsid w:val="00194982"/>
    <w:rsid w:val="00195472"/>
    <w:rsid w:val="001961F1"/>
    <w:rsid w:val="001978CF"/>
    <w:rsid w:val="00197E2B"/>
    <w:rsid w:val="001A09D1"/>
    <w:rsid w:val="001A1B06"/>
    <w:rsid w:val="001A2428"/>
    <w:rsid w:val="001A2ABF"/>
    <w:rsid w:val="001A38AC"/>
    <w:rsid w:val="001A4F05"/>
    <w:rsid w:val="001A5496"/>
    <w:rsid w:val="001A6023"/>
    <w:rsid w:val="001B1148"/>
    <w:rsid w:val="001B2ADF"/>
    <w:rsid w:val="001B2AF4"/>
    <w:rsid w:val="001B7A96"/>
    <w:rsid w:val="001C028B"/>
    <w:rsid w:val="001C1D42"/>
    <w:rsid w:val="001C1F6E"/>
    <w:rsid w:val="001C29E9"/>
    <w:rsid w:val="001C2AD9"/>
    <w:rsid w:val="001C4DE2"/>
    <w:rsid w:val="001C4E34"/>
    <w:rsid w:val="001C60B2"/>
    <w:rsid w:val="001C7A37"/>
    <w:rsid w:val="001D0ACA"/>
    <w:rsid w:val="001D2C9F"/>
    <w:rsid w:val="001D4D21"/>
    <w:rsid w:val="001D5892"/>
    <w:rsid w:val="001D608D"/>
    <w:rsid w:val="001D61AB"/>
    <w:rsid w:val="001D6783"/>
    <w:rsid w:val="001E09B2"/>
    <w:rsid w:val="001E1FC7"/>
    <w:rsid w:val="001E263C"/>
    <w:rsid w:val="001E5447"/>
    <w:rsid w:val="001E5A13"/>
    <w:rsid w:val="001E5E9A"/>
    <w:rsid w:val="001E627A"/>
    <w:rsid w:val="001E72E4"/>
    <w:rsid w:val="001E7D24"/>
    <w:rsid w:val="001F2116"/>
    <w:rsid w:val="002004EF"/>
    <w:rsid w:val="00201A91"/>
    <w:rsid w:val="00202366"/>
    <w:rsid w:val="002038B7"/>
    <w:rsid w:val="00204FC4"/>
    <w:rsid w:val="00206793"/>
    <w:rsid w:val="00207C33"/>
    <w:rsid w:val="00207F96"/>
    <w:rsid w:val="00212A01"/>
    <w:rsid w:val="0021406D"/>
    <w:rsid w:val="002161A3"/>
    <w:rsid w:val="00216751"/>
    <w:rsid w:val="00216CFC"/>
    <w:rsid w:val="00221A23"/>
    <w:rsid w:val="00222A33"/>
    <w:rsid w:val="0022408F"/>
    <w:rsid w:val="002249A8"/>
    <w:rsid w:val="002255EE"/>
    <w:rsid w:val="00225832"/>
    <w:rsid w:val="002270C2"/>
    <w:rsid w:val="00230784"/>
    <w:rsid w:val="0023105B"/>
    <w:rsid w:val="00232259"/>
    <w:rsid w:val="002322B9"/>
    <w:rsid w:val="00232608"/>
    <w:rsid w:val="00237176"/>
    <w:rsid w:val="00237287"/>
    <w:rsid w:val="0024042B"/>
    <w:rsid w:val="00240D74"/>
    <w:rsid w:val="002511B2"/>
    <w:rsid w:val="002519A3"/>
    <w:rsid w:val="00251D44"/>
    <w:rsid w:val="00253419"/>
    <w:rsid w:val="00253F92"/>
    <w:rsid w:val="00254BE5"/>
    <w:rsid w:val="0025574D"/>
    <w:rsid w:val="002557D6"/>
    <w:rsid w:val="002559AE"/>
    <w:rsid w:val="002563B5"/>
    <w:rsid w:val="00256E76"/>
    <w:rsid w:val="00257C58"/>
    <w:rsid w:val="00257CDD"/>
    <w:rsid w:val="00257E6C"/>
    <w:rsid w:val="002615AE"/>
    <w:rsid w:val="002632BA"/>
    <w:rsid w:val="00264F50"/>
    <w:rsid w:val="00266DEE"/>
    <w:rsid w:val="00267AF0"/>
    <w:rsid w:val="00270467"/>
    <w:rsid w:val="0027413A"/>
    <w:rsid w:val="00276BE1"/>
    <w:rsid w:val="00277523"/>
    <w:rsid w:val="002779E0"/>
    <w:rsid w:val="002826CC"/>
    <w:rsid w:val="002847EF"/>
    <w:rsid w:val="00286E75"/>
    <w:rsid w:val="00291E53"/>
    <w:rsid w:val="00293BA5"/>
    <w:rsid w:val="0029729F"/>
    <w:rsid w:val="002A1824"/>
    <w:rsid w:val="002A3ADC"/>
    <w:rsid w:val="002A3BFA"/>
    <w:rsid w:val="002A40E6"/>
    <w:rsid w:val="002A5056"/>
    <w:rsid w:val="002A580A"/>
    <w:rsid w:val="002A5F26"/>
    <w:rsid w:val="002A7003"/>
    <w:rsid w:val="002A7736"/>
    <w:rsid w:val="002B0E17"/>
    <w:rsid w:val="002B238A"/>
    <w:rsid w:val="002B2AB5"/>
    <w:rsid w:val="002B2D2C"/>
    <w:rsid w:val="002B4BAC"/>
    <w:rsid w:val="002B5D2A"/>
    <w:rsid w:val="002B6959"/>
    <w:rsid w:val="002B6A55"/>
    <w:rsid w:val="002B7E4A"/>
    <w:rsid w:val="002C070C"/>
    <w:rsid w:val="002C1D40"/>
    <w:rsid w:val="002C3E73"/>
    <w:rsid w:val="002C64C1"/>
    <w:rsid w:val="002C68B9"/>
    <w:rsid w:val="002C7A99"/>
    <w:rsid w:val="002C7EC0"/>
    <w:rsid w:val="002D09BC"/>
    <w:rsid w:val="002D29F7"/>
    <w:rsid w:val="002D37D0"/>
    <w:rsid w:val="002D3D61"/>
    <w:rsid w:val="002D4C3B"/>
    <w:rsid w:val="002D5EFD"/>
    <w:rsid w:val="002D62A7"/>
    <w:rsid w:val="002D77E4"/>
    <w:rsid w:val="002D7892"/>
    <w:rsid w:val="002E05F5"/>
    <w:rsid w:val="002E0BC0"/>
    <w:rsid w:val="002E1B3C"/>
    <w:rsid w:val="002E1C1A"/>
    <w:rsid w:val="002E1FB2"/>
    <w:rsid w:val="002E21C1"/>
    <w:rsid w:val="002E2357"/>
    <w:rsid w:val="002E27B1"/>
    <w:rsid w:val="002E29BA"/>
    <w:rsid w:val="002E2D0E"/>
    <w:rsid w:val="002E4583"/>
    <w:rsid w:val="002E4CF3"/>
    <w:rsid w:val="002E65B6"/>
    <w:rsid w:val="002E6D3B"/>
    <w:rsid w:val="002E6D3C"/>
    <w:rsid w:val="002E7B8A"/>
    <w:rsid w:val="002F0054"/>
    <w:rsid w:val="002F0894"/>
    <w:rsid w:val="002F1760"/>
    <w:rsid w:val="002F233F"/>
    <w:rsid w:val="002F30FA"/>
    <w:rsid w:val="002F3E54"/>
    <w:rsid w:val="002F450E"/>
    <w:rsid w:val="002F4AB0"/>
    <w:rsid w:val="002F4DE5"/>
    <w:rsid w:val="002F6D93"/>
    <w:rsid w:val="00300135"/>
    <w:rsid w:val="00301F3B"/>
    <w:rsid w:val="00304C3C"/>
    <w:rsid w:val="00305278"/>
    <w:rsid w:val="003064CD"/>
    <w:rsid w:val="0030716F"/>
    <w:rsid w:val="00310706"/>
    <w:rsid w:val="00311827"/>
    <w:rsid w:val="0031298C"/>
    <w:rsid w:val="003129A5"/>
    <w:rsid w:val="00313312"/>
    <w:rsid w:val="003146EE"/>
    <w:rsid w:val="00314C4E"/>
    <w:rsid w:val="003165A1"/>
    <w:rsid w:val="00320873"/>
    <w:rsid w:val="00322CA4"/>
    <w:rsid w:val="00324C71"/>
    <w:rsid w:val="00327FAB"/>
    <w:rsid w:val="003308F9"/>
    <w:rsid w:val="00332490"/>
    <w:rsid w:val="00332B00"/>
    <w:rsid w:val="00332C58"/>
    <w:rsid w:val="003331C7"/>
    <w:rsid w:val="003344C5"/>
    <w:rsid w:val="00334524"/>
    <w:rsid w:val="00342A08"/>
    <w:rsid w:val="00344575"/>
    <w:rsid w:val="00345B08"/>
    <w:rsid w:val="00345C29"/>
    <w:rsid w:val="00347CE7"/>
    <w:rsid w:val="003513A4"/>
    <w:rsid w:val="00353344"/>
    <w:rsid w:val="003539E7"/>
    <w:rsid w:val="00356571"/>
    <w:rsid w:val="003606D5"/>
    <w:rsid w:val="00361AAD"/>
    <w:rsid w:val="00363E6D"/>
    <w:rsid w:val="00370EEC"/>
    <w:rsid w:val="0037265E"/>
    <w:rsid w:val="003740A5"/>
    <w:rsid w:val="003740F9"/>
    <w:rsid w:val="00374674"/>
    <w:rsid w:val="00375597"/>
    <w:rsid w:val="0038049A"/>
    <w:rsid w:val="0038167F"/>
    <w:rsid w:val="00383C23"/>
    <w:rsid w:val="0038502D"/>
    <w:rsid w:val="00387AA9"/>
    <w:rsid w:val="00387B17"/>
    <w:rsid w:val="00390599"/>
    <w:rsid w:val="0039224E"/>
    <w:rsid w:val="003944D0"/>
    <w:rsid w:val="0039502F"/>
    <w:rsid w:val="003959B3"/>
    <w:rsid w:val="003A0B85"/>
    <w:rsid w:val="003A0E1A"/>
    <w:rsid w:val="003A1BD5"/>
    <w:rsid w:val="003A4E63"/>
    <w:rsid w:val="003A4F0C"/>
    <w:rsid w:val="003A56EC"/>
    <w:rsid w:val="003A65B3"/>
    <w:rsid w:val="003A6C3B"/>
    <w:rsid w:val="003A76AD"/>
    <w:rsid w:val="003B08FC"/>
    <w:rsid w:val="003B5F2C"/>
    <w:rsid w:val="003B64B3"/>
    <w:rsid w:val="003B65B7"/>
    <w:rsid w:val="003B6DC5"/>
    <w:rsid w:val="003B7594"/>
    <w:rsid w:val="003C0258"/>
    <w:rsid w:val="003C0FFA"/>
    <w:rsid w:val="003C1038"/>
    <w:rsid w:val="003C2C34"/>
    <w:rsid w:val="003C35EF"/>
    <w:rsid w:val="003C5E3B"/>
    <w:rsid w:val="003C6E78"/>
    <w:rsid w:val="003D02B5"/>
    <w:rsid w:val="003D1902"/>
    <w:rsid w:val="003D1A99"/>
    <w:rsid w:val="003D3164"/>
    <w:rsid w:val="003D4438"/>
    <w:rsid w:val="003D4821"/>
    <w:rsid w:val="003D5F8B"/>
    <w:rsid w:val="003E24EE"/>
    <w:rsid w:val="003E2CF2"/>
    <w:rsid w:val="003E6941"/>
    <w:rsid w:val="003F1D5A"/>
    <w:rsid w:val="003F1E75"/>
    <w:rsid w:val="003F2709"/>
    <w:rsid w:val="003F4501"/>
    <w:rsid w:val="003F6DFC"/>
    <w:rsid w:val="003F70F8"/>
    <w:rsid w:val="003F74A9"/>
    <w:rsid w:val="0040456C"/>
    <w:rsid w:val="00404707"/>
    <w:rsid w:val="00404D3C"/>
    <w:rsid w:val="00405C4E"/>
    <w:rsid w:val="00405C81"/>
    <w:rsid w:val="004064E5"/>
    <w:rsid w:val="00406882"/>
    <w:rsid w:val="00406F0A"/>
    <w:rsid w:val="004072AE"/>
    <w:rsid w:val="00410882"/>
    <w:rsid w:val="00413D79"/>
    <w:rsid w:val="004143C3"/>
    <w:rsid w:val="00414F5D"/>
    <w:rsid w:val="004156A3"/>
    <w:rsid w:val="00415D4C"/>
    <w:rsid w:val="00416134"/>
    <w:rsid w:val="00416C52"/>
    <w:rsid w:val="00420588"/>
    <w:rsid w:val="00420CFD"/>
    <w:rsid w:val="004212CF"/>
    <w:rsid w:val="004212F5"/>
    <w:rsid w:val="004228C2"/>
    <w:rsid w:val="004237F8"/>
    <w:rsid w:val="00425F6A"/>
    <w:rsid w:val="004276AC"/>
    <w:rsid w:val="0043052C"/>
    <w:rsid w:val="00430B47"/>
    <w:rsid w:val="0043166F"/>
    <w:rsid w:val="00431ED4"/>
    <w:rsid w:val="00432498"/>
    <w:rsid w:val="0043430D"/>
    <w:rsid w:val="004345CC"/>
    <w:rsid w:val="0043526C"/>
    <w:rsid w:val="004359DC"/>
    <w:rsid w:val="0043662A"/>
    <w:rsid w:val="00437AED"/>
    <w:rsid w:val="00441B1F"/>
    <w:rsid w:val="0044233D"/>
    <w:rsid w:val="004426AF"/>
    <w:rsid w:val="00444109"/>
    <w:rsid w:val="00444520"/>
    <w:rsid w:val="00444ADF"/>
    <w:rsid w:val="00445F5D"/>
    <w:rsid w:val="0044625E"/>
    <w:rsid w:val="0044687A"/>
    <w:rsid w:val="004469BF"/>
    <w:rsid w:val="00447D6C"/>
    <w:rsid w:val="00452D6F"/>
    <w:rsid w:val="00453BE1"/>
    <w:rsid w:val="00454197"/>
    <w:rsid w:val="00454660"/>
    <w:rsid w:val="00455A4E"/>
    <w:rsid w:val="0045604F"/>
    <w:rsid w:val="0045732B"/>
    <w:rsid w:val="004617B4"/>
    <w:rsid w:val="004650ED"/>
    <w:rsid w:val="00467E6A"/>
    <w:rsid w:val="004702D5"/>
    <w:rsid w:val="004710A5"/>
    <w:rsid w:val="00471DA8"/>
    <w:rsid w:val="00472AB9"/>
    <w:rsid w:val="00473815"/>
    <w:rsid w:val="00473F8C"/>
    <w:rsid w:val="00474DC4"/>
    <w:rsid w:val="00475015"/>
    <w:rsid w:val="00476345"/>
    <w:rsid w:val="00476CDF"/>
    <w:rsid w:val="00477143"/>
    <w:rsid w:val="0047757C"/>
    <w:rsid w:val="00480183"/>
    <w:rsid w:val="004824D2"/>
    <w:rsid w:val="00484F5E"/>
    <w:rsid w:val="0049056A"/>
    <w:rsid w:val="004912CC"/>
    <w:rsid w:val="00491589"/>
    <w:rsid w:val="00491700"/>
    <w:rsid w:val="00493269"/>
    <w:rsid w:val="0049419E"/>
    <w:rsid w:val="004967C5"/>
    <w:rsid w:val="004A0108"/>
    <w:rsid w:val="004A1FDA"/>
    <w:rsid w:val="004A4E05"/>
    <w:rsid w:val="004A717C"/>
    <w:rsid w:val="004B0B5C"/>
    <w:rsid w:val="004B2921"/>
    <w:rsid w:val="004B2CB7"/>
    <w:rsid w:val="004B3992"/>
    <w:rsid w:val="004B74B5"/>
    <w:rsid w:val="004C3723"/>
    <w:rsid w:val="004C399E"/>
    <w:rsid w:val="004C48AD"/>
    <w:rsid w:val="004C4927"/>
    <w:rsid w:val="004C49B2"/>
    <w:rsid w:val="004C7E2E"/>
    <w:rsid w:val="004D1443"/>
    <w:rsid w:val="004D2571"/>
    <w:rsid w:val="004D53DA"/>
    <w:rsid w:val="004D563E"/>
    <w:rsid w:val="004D77F4"/>
    <w:rsid w:val="004E10C9"/>
    <w:rsid w:val="004E19A8"/>
    <w:rsid w:val="004E1CEE"/>
    <w:rsid w:val="004E2C6B"/>
    <w:rsid w:val="004E3D7C"/>
    <w:rsid w:val="004E4822"/>
    <w:rsid w:val="004E4ECC"/>
    <w:rsid w:val="004E4FDC"/>
    <w:rsid w:val="004E538D"/>
    <w:rsid w:val="004E7558"/>
    <w:rsid w:val="004E76CE"/>
    <w:rsid w:val="004E7B19"/>
    <w:rsid w:val="004F0C14"/>
    <w:rsid w:val="004F1A76"/>
    <w:rsid w:val="004F1CBC"/>
    <w:rsid w:val="004F1D98"/>
    <w:rsid w:val="004F249F"/>
    <w:rsid w:val="004F3A95"/>
    <w:rsid w:val="004F3C2D"/>
    <w:rsid w:val="004F5614"/>
    <w:rsid w:val="004F7071"/>
    <w:rsid w:val="004F73D6"/>
    <w:rsid w:val="004F7A7F"/>
    <w:rsid w:val="00500684"/>
    <w:rsid w:val="005006E6"/>
    <w:rsid w:val="00501108"/>
    <w:rsid w:val="0050153F"/>
    <w:rsid w:val="00503E18"/>
    <w:rsid w:val="005053D1"/>
    <w:rsid w:val="00506356"/>
    <w:rsid w:val="00506AC7"/>
    <w:rsid w:val="0050708B"/>
    <w:rsid w:val="00507230"/>
    <w:rsid w:val="005075E4"/>
    <w:rsid w:val="00510CBC"/>
    <w:rsid w:val="005122BB"/>
    <w:rsid w:val="005214E9"/>
    <w:rsid w:val="00521FF3"/>
    <w:rsid w:val="00530086"/>
    <w:rsid w:val="00532A44"/>
    <w:rsid w:val="00534D06"/>
    <w:rsid w:val="00540F26"/>
    <w:rsid w:val="00542306"/>
    <w:rsid w:val="00544737"/>
    <w:rsid w:val="00544B20"/>
    <w:rsid w:val="0054708F"/>
    <w:rsid w:val="0055149C"/>
    <w:rsid w:val="00551EF1"/>
    <w:rsid w:val="00552B1B"/>
    <w:rsid w:val="00557DE4"/>
    <w:rsid w:val="0056104C"/>
    <w:rsid w:val="005623D9"/>
    <w:rsid w:val="00563D18"/>
    <w:rsid w:val="00564090"/>
    <w:rsid w:val="00565ABC"/>
    <w:rsid w:val="0056640B"/>
    <w:rsid w:val="0056707C"/>
    <w:rsid w:val="0057108C"/>
    <w:rsid w:val="005727C9"/>
    <w:rsid w:val="00573B06"/>
    <w:rsid w:val="00573DC0"/>
    <w:rsid w:val="005745F8"/>
    <w:rsid w:val="00575123"/>
    <w:rsid w:val="0057531C"/>
    <w:rsid w:val="00575391"/>
    <w:rsid w:val="00580F78"/>
    <w:rsid w:val="005810E5"/>
    <w:rsid w:val="00581829"/>
    <w:rsid w:val="005837B4"/>
    <w:rsid w:val="005855D8"/>
    <w:rsid w:val="0058757E"/>
    <w:rsid w:val="005901AC"/>
    <w:rsid w:val="00590790"/>
    <w:rsid w:val="00590AD1"/>
    <w:rsid w:val="00591199"/>
    <w:rsid w:val="00591F00"/>
    <w:rsid w:val="00592F2A"/>
    <w:rsid w:val="00593CF6"/>
    <w:rsid w:val="00594F0D"/>
    <w:rsid w:val="00597587"/>
    <w:rsid w:val="005A0BC5"/>
    <w:rsid w:val="005A1A30"/>
    <w:rsid w:val="005A1A4F"/>
    <w:rsid w:val="005A2857"/>
    <w:rsid w:val="005A2BC5"/>
    <w:rsid w:val="005A3D51"/>
    <w:rsid w:val="005A4114"/>
    <w:rsid w:val="005A44EE"/>
    <w:rsid w:val="005A47BA"/>
    <w:rsid w:val="005A4845"/>
    <w:rsid w:val="005A514A"/>
    <w:rsid w:val="005A689F"/>
    <w:rsid w:val="005B0C81"/>
    <w:rsid w:val="005B1A43"/>
    <w:rsid w:val="005B3F21"/>
    <w:rsid w:val="005B4AC9"/>
    <w:rsid w:val="005C34BF"/>
    <w:rsid w:val="005C53DB"/>
    <w:rsid w:val="005C541E"/>
    <w:rsid w:val="005C56C1"/>
    <w:rsid w:val="005C6C08"/>
    <w:rsid w:val="005C774C"/>
    <w:rsid w:val="005D0E6E"/>
    <w:rsid w:val="005D2425"/>
    <w:rsid w:val="005D320A"/>
    <w:rsid w:val="005D39E6"/>
    <w:rsid w:val="005D4938"/>
    <w:rsid w:val="005D58AC"/>
    <w:rsid w:val="005D5AC3"/>
    <w:rsid w:val="005D7C99"/>
    <w:rsid w:val="005E1660"/>
    <w:rsid w:val="005E1709"/>
    <w:rsid w:val="005E1970"/>
    <w:rsid w:val="005E20D8"/>
    <w:rsid w:val="005E283B"/>
    <w:rsid w:val="005E2996"/>
    <w:rsid w:val="005E490A"/>
    <w:rsid w:val="005E5D0D"/>
    <w:rsid w:val="005E69BE"/>
    <w:rsid w:val="005F073A"/>
    <w:rsid w:val="005F4CF8"/>
    <w:rsid w:val="005F5315"/>
    <w:rsid w:val="005F6002"/>
    <w:rsid w:val="005F6E75"/>
    <w:rsid w:val="00600913"/>
    <w:rsid w:val="0060262D"/>
    <w:rsid w:val="006052CE"/>
    <w:rsid w:val="00607D4E"/>
    <w:rsid w:val="00610416"/>
    <w:rsid w:val="00610911"/>
    <w:rsid w:val="00610A79"/>
    <w:rsid w:val="006121B6"/>
    <w:rsid w:val="00612E28"/>
    <w:rsid w:val="00614BF0"/>
    <w:rsid w:val="00614C4F"/>
    <w:rsid w:val="00620D37"/>
    <w:rsid w:val="0062221F"/>
    <w:rsid w:val="00622369"/>
    <w:rsid w:val="006240AD"/>
    <w:rsid w:val="0062463D"/>
    <w:rsid w:val="00624A84"/>
    <w:rsid w:val="006255B1"/>
    <w:rsid w:val="00625B74"/>
    <w:rsid w:val="00627083"/>
    <w:rsid w:val="0062773C"/>
    <w:rsid w:val="00627F8E"/>
    <w:rsid w:val="0063093C"/>
    <w:rsid w:val="00634170"/>
    <w:rsid w:val="0063432C"/>
    <w:rsid w:val="00637922"/>
    <w:rsid w:val="00640C3B"/>
    <w:rsid w:val="00643087"/>
    <w:rsid w:val="00645F70"/>
    <w:rsid w:val="006462CA"/>
    <w:rsid w:val="00646546"/>
    <w:rsid w:val="00646640"/>
    <w:rsid w:val="00647757"/>
    <w:rsid w:val="00647C41"/>
    <w:rsid w:val="00650049"/>
    <w:rsid w:val="00653307"/>
    <w:rsid w:val="00655808"/>
    <w:rsid w:val="006574DA"/>
    <w:rsid w:val="00664B56"/>
    <w:rsid w:val="00665048"/>
    <w:rsid w:val="006650D7"/>
    <w:rsid w:val="00665320"/>
    <w:rsid w:val="00665F75"/>
    <w:rsid w:val="00666953"/>
    <w:rsid w:val="00667EB1"/>
    <w:rsid w:val="00673BB6"/>
    <w:rsid w:val="00673D5C"/>
    <w:rsid w:val="006752B1"/>
    <w:rsid w:val="00675958"/>
    <w:rsid w:val="006759C4"/>
    <w:rsid w:val="006769AD"/>
    <w:rsid w:val="00677462"/>
    <w:rsid w:val="006779ED"/>
    <w:rsid w:val="00681B5A"/>
    <w:rsid w:val="00681D93"/>
    <w:rsid w:val="00686F59"/>
    <w:rsid w:val="00690339"/>
    <w:rsid w:val="006927D9"/>
    <w:rsid w:val="00692BBF"/>
    <w:rsid w:val="00693ADD"/>
    <w:rsid w:val="006941AD"/>
    <w:rsid w:val="006A1A76"/>
    <w:rsid w:val="006A1BD8"/>
    <w:rsid w:val="006A2535"/>
    <w:rsid w:val="006B12CB"/>
    <w:rsid w:val="006B1564"/>
    <w:rsid w:val="006B306B"/>
    <w:rsid w:val="006B44C3"/>
    <w:rsid w:val="006B76A8"/>
    <w:rsid w:val="006C0349"/>
    <w:rsid w:val="006C03AD"/>
    <w:rsid w:val="006C08F7"/>
    <w:rsid w:val="006C0A36"/>
    <w:rsid w:val="006C0CD7"/>
    <w:rsid w:val="006C1856"/>
    <w:rsid w:val="006C25CF"/>
    <w:rsid w:val="006C2FC5"/>
    <w:rsid w:val="006C31B2"/>
    <w:rsid w:val="006C71E2"/>
    <w:rsid w:val="006D1E82"/>
    <w:rsid w:val="006D35B3"/>
    <w:rsid w:val="006D3886"/>
    <w:rsid w:val="006D4035"/>
    <w:rsid w:val="006D40F3"/>
    <w:rsid w:val="006D422E"/>
    <w:rsid w:val="006D4A10"/>
    <w:rsid w:val="006D6E50"/>
    <w:rsid w:val="006E0082"/>
    <w:rsid w:val="006E089C"/>
    <w:rsid w:val="006E5E3D"/>
    <w:rsid w:val="006E7D3A"/>
    <w:rsid w:val="006F0416"/>
    <w:rsid w:val="006F1315"/>
    <w:rsid w:val="006F170B"/>
    <w:rsid w:val="006F63AE"/>
    <w:rsid w:val="007002EB"/>
    <w:rsid w:val="00700761"/>
    <w:rsid w:val="0070314E"/>
    <w:rsid w:val="00706F42"/>
    <w:rsid w:val="0070739D"/>
    <w:rsid w:val="0070799C"/>
    <w:rsid w:val="00710930"/>
    <w:rsid w:val="007112A1"/>
    <w:rsid w:val="00711530"/>
    <w:rsid w:val="00714067"/>
    <w:rsid w:val="0071429C"/>
    <w:rsid w:val="00715CD8"/>
    <w:rsid w:val="00716522"/>
    <w:rsid w:val="007205DA"/>
    <w:rsid w:val="0072224A"/>
    <w:rsid w:val="0072230D"/>
    <w:rsid w:val="00725197"/>
    <w:rsid w:val="00725C9F"/>
    <w:rsid w:val="007270F3"/>
    <w:rsid w:val="00727214"/>
    <w:rsid w:val="00730FF8"/>
    <w:rsid w:val="007334A0"/>
    <w:rsid w:val="007350EF"/>
    <w:rsid w:val="007357DD"/>
    <w:rsid w:val="00736B5C"/>
    <w:rsid w:val="00741FE2"/>
    <w:rsid w:val="00742CD5"/>
    <w:rsid w:val="00743486"/>
    <w:rsid w:val="00750222"/>
    <w:rsid w:val="00750CA1"/>
    <w:rsid w:val="00751A31"/>
    <w:rsid w:val="00752979"/>
    <w:rsid w:val="00753210"/>
    <w:rsid w:val="007536CC"/>
    <w:rsid w:val="00753927"/>
    <w:rsid w:val="007552E7"/>
    <w:rsid w:val="00761605"/>
    <w:rsid w:val="00762188"/>
    <w:rsid w:val="0076269C"/>
    <w:rsid w:val="007627DD"/>
    <w:rsid w:val="007628D9"/>
    <w:rsid w:val="00772227"/>
    <w:rsid w:val="007730D6"/>
    <w:rsid w:val="00773ED8"/>
    <w:rsid w:val="007747CE"/>
    <w:rsid w:val="007750ED"/>
    <w:rsid w:val="00775EAE"/>
    <w:rsid w:val="00781601"/>
    <w:rsid w:val="0078195E"/>
    <w:rsid w:val="00781ADF"/>
    <w:rsid w:val="007838DB"/>
    <w:rsid w:val="0078492D"/>
    <w:rsid w:val="00784C3F"/>
    <w:rsid w:val="00790574"/>
    <w:rsid w:val="00790A62"/>
    <w:rsid w:val="00791255"/>
    <w:rsid w:val="00794482"/>
    <w:rsid w:val="00795A4B"/>
    <w:rsid w:val="00796461"/>
    <w:rsid w:val="007A5D6A"/>
    <w:rsid w:val="007A7502"/>
    <w:rsid w:val="007A7AEF"/>
    <w:rsid w:val="007A7D33"/>
    <w:rsid w:val="007A7F90"/>
    <w:rsid w:val="007B0F45"/>
    <w:rsid w:val="007B28A2"/>
    <w:rsid w:val="007B2982"/>
    <w:rsid w:val="007B3A9A"/>
    <w:rsid w:val="007B3EC8"/>
    <w:rsid w:val="007B5229"/>
    <w:rsid w:val="007B5514"/>
    <w:rsid w:val="007B7A1E"/>
    <w:rsid w:val="007C1332"/>
    <w:rsid w:val="007C1EC8"/>
    <w:rsid w:val="007C2D39"/>
    <w:rsid w:val="007C51FA"/>
    <w:rsid w:val="007C6B97"/>
    <w:rsid w:val="007C7398"/>
    <w:rsid w:val="007C75A7"/>
    <w:rsid w:val="007C7863"/>
    <w:rsid w:val="007D0943"/>
    <w:rsid w:val="007D184E"/>
    <w:rsid w:val="007D1DAC"/>
    <w:rsid w:val="007D2183"/>
    <w:rsid w:val="007D4291"/>
    <w:rsid w:val="007D721D"/>
    <w:rsid w:val="007D7284"/>
    <w:rsid w:val="007E1AB7"/>
    <w:rsid w:val="007E2250"/>
    <w:rsid w:val="007E273A"/>
    <w:rsid w:val="007E27EA"/>
    <w:rsid w:val="007E2D0D"/>
    <w:rsid w:val="007E427E"/>
    <w:rsid w:val="007E47AE"/>
    <w:rsid w:val="007E73A7"/>
    <w:rsid w:val="007F0778"/>
    <w:rsid w:val="007F0F76"/>
    <w:rsid w:val="007F1D4A"/>
    <w:rsid w:val="007F2B83"/>
    <w:rsid w:val="007F39C7"/>
    <w:rsid w:val="007F4634"/>
    <w:rsid w:val="007F498A"/>
    <w:rsid w:val="007F49CA"/>
    <w:rsid w:val="007F5AD0"/>
    <w:rsid w:val="007F5D6C"/>
    <w:rsid w:val="00800A81"/>
    <w:rsid w:val="0080166B"/>
    <w:rsid w:val="00802414"/>
    <w:rsid w:val="0080636E"/>
    <w:rsid w:val="00806604"/>
    <w:rsid w:val="0081009B"/>
    <w:rsid w:val="008107FE"/>
    <w:rsid w:val="00810B60"/>
    <w:rsid w:val="00810E8A"/>
    <w:rsid w:val="00811961"/>
    <w:rsid w:val="008128E1"/>
    <w:rsid w:val="00812AAD"/>
    <w:rsid w:val="00813451"/>
    <w:rsid w:val="00813CAC"/>
    <w:rsid w:val="00816301"/>
    <w:rsid w:val="00816716"/>
    <w:rsid w:val="00817DA9"/>
    <w:rsid w:val="008208A6"/>
    <w:rsid w:val="00820ABB"/>
    <w:rsid w:val="0082306C"/>
    <w:rsid w:val="00824785"/>
    <w:rsid w:val="00827FFE"/>
    <w:rsid w:val="0083202E"/>
    <w:rsid w:val="0083265F"/>
    <w:rsid w:val="00833C3E"/>
    <w:rsid w:val="00836F08"/>
    <w:rsid w:val="00840202"/>
    <w:rsid w:val="008406E9"/>
    <w:rsid w:val="00840EBE"/>
    <w:rsid w:val="00841F64"/>
    <w:rsid w:val="00846A83"/>
    <w:rsid w:val="00846E69"/>
    <w:rsid w:val="0084712B"/>
    <w:rsid w:val="00847FC5"/>
    <w:rsid w:val="00850745"/>
    <w:rsid w:val="008509CB"/>
    <w:rsid w:val="008510B4"/>
    <w:rsid w:val="00851C6F"/>
    <w:rsid w:val="0085302D"/>
    <w:rsid w:val="0085308A"/>
    <w:rsid w:val="0085449E"/>
    <w:rsid w:val="00856387"/>
    <w:rsid w:val="008568B8"/>
    <w:rsid w:val="00861022"/>
    <w:rsid w:val="00861D56"/>
    <w:rsid w:val="00862C1A"/>
    <w:rsid w:val="00862E1D"/>
    <w:rsid w:val="0086332A"/>
    <w:rsid w:val="00864541"/>
    <w:rsid w:val="00864C13"/>
    <w:rsid w:val="00865069"/>
    <w:rsid w:val="00865245"/>
    <w:rsid w:val="0086567A"/>
    <w:rsid w:val="00866A5B"/>
    <w:rsid w:val="00866EE1"/>
    <w:rsid w:val="0086723E"/>
    <w:rsid w:val="00871166"/>
    <w:rsid w:val="008760CE"/>
    <w:rsid w:val="00876889"/>
    <w:rsid w:val="00876F9D"/>
    <w:rsid w:val="008826F2"/>
    <w:rsid w:val="00882885"/>
    <w:rsid w:val="008844A3"/>
    <w:rsid w:val="0088798E"/>
    <w:rsid w:val="0089054A"/>
    <w:rsid w:val="008906A8"/>
    <w:rsid w:val="008938A9"/>
    <w:rsid w:val="008948ED"/>
    <w:rsid w:val="00894D43"/>
    <w:rsid w:val="008955A7"/>
    <w:rsid w:val="00895B72"/>
    <w:rsid w:val="00897536"/>
    <w:rsid w:val="008A2D51"/>
    <w:rsid w:val="008A6EE0"/>
    <w:rsid w:val="008B0322"/>
    <w:rsid w:val="008B1805"/>
    <w:rsid w:val="008B34E9"/>
    <w:rsid w:val="008B4C92"/>
    <w:rsid w:val="008B4E89"/>
    <w:rsid w:val="008B6AD1"/>
    <w:rsid w:val="008B6BD1"/>
    <w:rsid w:val="008B6E6C"/>
    <w:rsid w:val="008B796B"/>
    <w:rsid w:val="008C0378"/>
    <w:rsid w:val="008C174C"/>
    <w:rsid w:val="008C2699"/>
    <w:rsid w:val="008C6FAC"/>
    <w:rsid w:val="008D158D"/>
    <w:rsid w:val="008D15A2"/>
    <w:rsid w:val="008D1F1C"/>
    <w:rsid w:val="008D2252"/>
    <w:rsid w:val="008D5574"/>
    <w:rsid w:val="008D7C04"/>
    <w:rsid w:val="008D7DC1"/>
    <w:rsid w:val="008E065E"/>
    <w:rsid w:val="008E20CE"/>
    <w:rsid w:val="008E2297"/>
    <w:rsid w:val="008E27B9"/>
    <w:rsid w:val="008E2BD9"/>
    <w:rsid w:val="008E2F04"/>
    <w:rsid w:val="008E7497"/>
    <w:rsid w:val="008F083A"/>
    <w:rsid w:val="008F0C5E"/>
    <w:rsid w:val="008F4040"/>
    <w:rsid w:val="008F56CA"/>
    <w:rsid w:val="008F78E7"/>
    <w:rsid w:val="00900B92"/>
    <w:rsid w:val="0090181B"/>
    <w:rsid w:val="00904454"/>
    <w:rsid w:val="00904C28"/>
    <w:rsid w:val="00904D43"/>
    <w:rsid w:val="0090753D"/>
    <w:rsid w:val="00910944"/>
    <w:rsid w:val="0091187B"/>
    <w:rsid w:val="00915781"/>
    <w:rsid w:val="00917D30"/>
    <w:rsid w:val="009221C9"/>
    <w:rsid w:val="00922D5B"/>
    <w:rsid w:val="009230F4"/>
    <w:rsid w:val="00923697"/>
    <w:rsid w:val="009259A6"/>
    <w:rsid w:val="00926DFF"/>
    <w:rsid w:val="00931B6E"/>
    <w:rsid w:val="009326F6"/>
    <w:rsid w:val="00932F7D"/>
    <w:rsid w:val="00935B57"/>
    <w:rsid w:val="009370F7"/>
    <w:rsid w:val="00937E10"/>
    <w:rsid w:val="00940310"/>
    <w:rsid w:val="00941F14"/>
    <w:rsid w:val="009430B6"/>
    <w:rsid w:val="0095076F"/>
    <w:rsid w:val="00953992"/>
    <w:rsid w:val="00956436"/>
    <w:rsid w:val="00957D5D"/>
    <w:rsid w:val="00957E88"/>
    <w:rsid w:val="00962379"/>
    <w:rsid w:val="00962F2C"/>
    <w:rsid w:val="00963C78"/>
    <w:rsid w:val="0096404C"/>
    <w:rsid w:val="009673AC"/>
    <w:rsid w:val="00971790"/>
    <w:rsid w:val="00972CAF"/>
    <w:rsid w:val="00973F85"/>
    <w:rsid w:val="00976046"/>
    <w:rsid w:val="00980438"/>
    <w:rsid w:val="0098314A"/>
    <w:rsid w:val="00983D92"/>
    <w:rsid w:val="00985819"/>
    <w:rsid w:val="009858B5"/>
    <w:rsid w:val="0098620C"/>
    <w:rsid w:val="009912D5"/>
    <w:rsid w:val="009941A3"/>
    <w:rsid w:val="009951BF"/>
    <w:rsid w:val="00995716"/>
    <w:rsid w:val="009974B4"/>
    <w:rsid w:val="009A1434"/>
    <w:rsid w:val="009A16AF"/>
    <w:rsid w:val="009A3011"/>
    <w:rsid w:val="009A4E96"/>
    <w:rsid w:val="009A5A22"/>
    <w:rsid w:val="009A5D79"/>
    <w:rsid w:val="009A71E0"/>
    <w:rsid w:val="009B0A44"/>
    <w:rsid w:val="009B1110"/>
    <w:rsid w:val="009B159F"/>
    <w:rsid w:val="009B21F0"/>
    <w:rsid w:val="009B22C6"/>
    <w:rsid w:val="009B26B9"/>
    <w:rsid w:val="009B2B14"/>
    <w:rsid w:val="009B4461"/>
    <w:rsid w:val="009B50D3"/>
    <w:rsid w:val="009B5C99"/>
    <w:rsid w:val="009B6C80"/>
    <w:rsid w:val="009C1015"/>
    <w:rsid w:val="009C1AD4"/>
    <w:rsid w:val="009C1D0E"/>
    <w:rsid w:val="009C2227"/>
    <w:rsid w:val="009C2229"/>
    <w:rsid w:val="009C4D06"/>
    <w:rsid w:val="009C5466"/>
    <w:rsid w:val="009C700E"/>
    <w:rsid w:val="009D00A1"/>
    <w:rsid w:val="009D05EC"/>
    <w:rsid w:val="009D1098"/>
    <w:rsid w:val="009D2621"/>
    <w:rsid w:val="009D28E1"/>
    <w:rsid w:val="009D2E9F"/>
    <w:rsid w:val="009D3587"/>
    <w:rsid w:val="009D5171"/>
    <w:rsid w:val="009D5852"/>
    <w:rsid w:val="009D5DE8"/>
    <w:rsid w:val="009D680D"/>
    <w:rsid w:val="009D731B"/>
    <w:rsid w:val="009D775A"/>
    <w:rsid w:val="009E050C"/>
    <w:rsid w:val="009E0840"/>
    <w:rsid w:val="009E1885"/>
    <w:rsid w:val="009E2057"/>
    <w:rsid w:val="009E296E"/>
    <w:rsid w:val="009E3983"/>
    <w:rsid w:val="009E60C8"/>
    <w:rsid w:val="009E625B"/>
    <w:rsid w:val="009E742A"/>
    <w:rsid w:val="009F0598"/>
    <w:rsid w:val="009F3A29"/>
    <w:rsid w:val="009F3CC7"/>
    <w:rsid w:val="009F55BF"/>
    <w:rsid w:val="009F5B9E"/>
    <w:rsid w:val="009F6945"/>
    <w:rsid w:val="009F7B6C"/>
    <w:rsid w:val="00A011ED"/>
    <w:rsid w:val="00A01591"/>
    <w:rsid w:val="00A01667"/>
    <w:rsid w:val="00A034B4"/>
    <w:rsid w:val="00A0377D"/>
    <w:rsid w:val="00A040DD"/>
    <w:rsid w:val="00A04545"/>
    <w:rsid w:val="00A06257"/>
    <w:rsid w:val="00A0652A"/>
    <w:rsid w:val="00A107D5"/>
    <w:rsid w:val="00A10E55"/>
    <w:rsid w:val="00A16F5F"/>
    <w:rsid w:val="00A20C09"/>
    <w:rsid w:val="00A20F92"/>
    <w:rsid w:val="00A22382"/>
    <w:rsid w:val="00A22A64"/>
    <w:rsid w:val="00A23337"/>
    <w:rsid w:val="00A236EC"/>
    <w:rsid w:val="00A24456"/>
    <w:rsid w:val="00A2455D"/>
    <w:rsid w:val="00A24B18"/>
    <w:rsid w:val="00A253CF"/>
    <w:rsid w:val="00A26D97"/>
    <w:rsid w:val="00A324D4"/>
    <w:rsid w:val="00A334AD"/>
    <w:rsid w:val="00A33872"/>
    <w:rsid w:val="00A34B30"/>
    <w:rsid w:val="00A35500"/>
    <w:rsid w:val="00A37AFD"/>
    <w:rsid w:val="00A37BDB"/>
    <w:rsid w:val="00A42C3F"/>
    <w:rsid w:val="00A44130"/>
    <w:rsid w:val="00A44A33"/>
    <w:rsid w:val="00A475D7"/>
    <w:rsid w:val="00A535E1"/>
    <w:rsid w:val="00A539B5"/>
    <w:rsid w:val="00A5696D"/>
    <w:rsid w:val="00A574B1"/>
    <w:rsid w:val="00A575CD"/>
    <w:rsid w:val="00A60409"/>
    <w:rsid w:val="00A60E3C"/>
    <w:rsid w:val="00A60F89"/>
    <w:rsid w:val="00A6307F"/>
    <w:rsid w:val="00A6438B"/>
    <w:rsid w:val="00A64CAA"/>
    <w:rsid w:val="00A667AF"/>
    <w:rsid w:val="00A66B6A"/>
    <w:rsid w:val="00A67310"/>
    <w:rsid w:val="00A67D70"/>
    <w:rsid w:val="00A71F83"/>
    <w:rsid w:val="00A72AD4"/>
    <w:rsid w:val="00A76129"/>
    <w:rsid w:val="00A77C08"/>
    <w:rsid w:val="00A81761"/>
    <w:rsid w:val="00A83FA6"/>
    <w:rsid w:val="00A840C7"/>
    <w:rsid w:val="00A85376"/>
    <w:rsid w:val="00A855CB"/>
    <w:rsid w:val="00A86FA0"/>
    <w:rsid w:val="00A875F2"/>
    <w:rsid w:val="00A87867"/>
    <w:rsid w:val="00A904D8"/>
    <w:rsid w:val="00A90765"/>
    <w:rsid w:val="00A914D3"/>
    <w:rsid w:val="00A92118"/>
    <w:rsid w:val="00A92CFC"/>
    <w:rsid w:val="00A92D8A"/>
    <w:rsid w:val="00A94317"/>
    <w:rsid w:val="00A94C48"/>
    <w:rsid w:val="00A9640C"/>
    <w:rsid w:val="00AA282C"/>
    <w:rsid w:val="00AA381D"/>
    <w:rsid w:val="00AA3A3C"/>
    <w:rsid w:val="00AA3DEE"/>
    <w:rsid w:val="00AA413A"/>
    <w:rsid w:val="00AA5E7B"/>
    <w:rsid w:val="00AA6D74"/>
    <w:rsid w:val="00AA6FF3"/>
    <w:rsid w:val="00AA77B0"/>
    <w:rsid w:val="00AA7C1A"/>
    <w:rsid w:val="00AA7C89"/>
    <w:rsid w:val="00AA7DBD"/>
    <w:rsid w:val="00AB22DC"/>
    <w:rsid w:val="00AB3B36"/>
    <w:rsid w:val="00AB3DBD"/>
    <w:rsid w:val="00AB4337"/>
    <w:rsid w:val="00AB49A9"/>
    <w:rsid w:val="00AB538D"/>
    <w:rsid w:val="00AB5D79"/>
    <w:rsid w:val="00AC0382"/>
    <w:rsid w:val="00AC0B9F"/>
    <w:rsid w:val="00AC1329"/>
    <w:rsid w:val="00AC1408"/>
    <w:rsid w:val="00AC60FB"/>
    <w:rsid w:val="00AC727D"/>
    <w:rsid w:val="00AD09E7"/>
    <w:rsid w:val="00AD0DB7"/>
    <w:rsid w:val="00AD2058"/>
    <w:rsid w:val="00AD2B38"/>
    <w:rsid w:val="00AD2F1F"/>
    <w:rsid w:val="00AD5FD2"/>
    <w:rsid w:val="00AD783E"/>
    <w:rsid w:val="00AD7C55"/>
    <w:rsid w:val="00AE00E4"/>
    <w:rsid w:val="00AE0F8D"/>
    <w:rsid w:val="00AE15E9"/>
    <w:rsid w:val="00AE2B97"/>
    <w:rsid w:val="00AE2F2F"/>
    <w:rsid w:val="00AE66D6"/>
    <w:rsid w:val="00AE79D3"/>
    <w:rsid w:val="00AF68B2"/>
    <w:rsid w:val="00AF7497"/>
    <w:rsid w:val="00AF7984"/>
    <w:rsid w:val="00B005C7"/>
    <w:rsid w:val="00B02EAA"/>
    <w:rsid w:val="00B03EFE"/>
    <w:rsid w:val="00B053B9"/>
    <w:rsid w:val="00B104D4"/>
    <w:rsid w:val="00B10830"/>
    <w:rsid w:val="00B1160F"/>
    <w:rsid w:val="00B117FE"/>
    <w:rsid w:val="00B1216F"/>
    <w:rsid w:val="00B13A29"/>
    <w:rsid w:val="00B14104"/>
    <w:rsid w:val="00B1552C"/>
    <w:rsid w:val="00B16B9D"/>
    <w:rsid w:val="00B21321"/>
    <w:rsid w:val="00B2173B"/>
    <w:rsid w:val="00B22BB5"/>
    <w:rsid w:val="00B231CD"/>
    <w:rsid w:val="00B26E97"/>
    <w:rsid w:val="00B30973"/>
    <w:rsid w:val="00B30C28"/>
    <w:rsid w:val="00B31685"/>
    <w:rsid w:val="00B33153"/>
    <w:rsid w:val="00B338D3"/>
    <w:rsid w:val="00B3546C"/>
    <w:rsid w:val="00B368C5"/>
    <w:rsid w:val="00B36FF6"/>
    <w:rsid w:val="00B37ADB"/>
    <w:rsid w:val="00B40E5D"/>
    <w:rsid w:val="00B41687"/>
    <w:rsid w:val="00B41A2B"/>
    <w:rsid w:val="00B41BE0"/>
    <w:rsid w:val="00B43B8C"/>
    <w:rsid w:val="00B43FD5"/>
    <w:rsid w:val="00B44D6B"/>
    <w:rsid w:val="00B50F33"/>
    <w:rsid w:val="00B52543"/>
    <w:rsid w:val="00B52A8D"/>
    <w:rsid w:val="00B53912"/>
    <w:rsid w:val="00B545D2"/>
    <w:rsid w:val="00B55FF2"/>
    <w:rsid w:val="00B62D20"/>
    <w:rsid w:val="00B62FFD"/>
    <w:rsid w:val="00B633F2"/>
    <w:rsid w:val="00B64E0D"/>
    <w:rsid w:val="00B67C48"/>
    <w:rsid w:val="00B67DFC"/>
    <w:rsid w:val="00B71234"/>
    <w:rsid w:val="00B727C2"/>
    <w:rsid w:val="00B727FB"/>
    <w:rsid w:val="00B7326E"/>
    <w:rsid w:val="00B7436C"/>
    <w:rsid w:val="00B7610D"/>
    <w:rsid w:val="00B815B2"/>
    <w:rsid w:val="00B821ED"/>
    <w:rsid w:val="00B8222F"/>
    <w:rsid w:val="00B82A6E"/>
    <w:rsid w:val="00B833B7"/>
    <w:rsid w:val="00B85975"/>
    <w:rsid w:val="00B866A1"/>
    <w:rsid w:val="00B87A21"/>
    <w:rsid w:val="00B90B86"/>
    <w:rsid w:val="00B9217A"/>
    <w:rsid w:val="00B923C9"/>
    <w:rsid w:val="00B9271E"/>
    <w:rsid w:val="00B93543"/>
    <w:rsid w:val="00BA0F10"/>
    <w:rsid w:val="00BA20D3"/>
    <w:rsid w:val="00BA381D"/>
    <w:rsid w:val="00BA3A7C"/>
    <w:rsid w:val="00BA4A2D"/>
    <w:rsid w:val="00BA59FB"/>
    <w:rsid w:val="00BA62B6"/>
    <w:rsid w:val="00BA66A6"/>
    <w:rsid w:val="00BA79D8"/>
    <w:rsid w:val="00BB0B96"/>
    <w:rsid w:val="00BB0F56"/>
    <w:rsid w:val="00BB2D51"/>
    <w:rsid w:val="00BB4CFF"/>
    <w:rsid w:val="00BB5286"/>
    <w:rsid w:val="00BB6765"/>
    <w:rsid w:val="00BB78F4"/>
    <w:rsid w:val="00BC0A29"/>
    <w:rsid w:val="00BC2E4F"/>
    <w:rsid w:val="00BC3483"/>
    <w:rsid w:val="00BC3972"/>
    <w:rsid w:val="00BC4780"/>
    <w:rsid w:val="00BC6029"/>
    <w:rsid w:val="00BC60A8"/>
    <w:rsid w:val="00BD0453"/>
    <w:rsid w:val="00BD1B6B"/>
    <w:rsid w:val="00BD1E0A"/>
    <w:rsid w:val="00BD2B9F"/>
    <w:rsid w:val="00BD49ED"/>
    <w:rsid w:val="00BD5048"/>
    <w:rsid w:val="00BD6CA0"/>
    <w:rsid w:val="00BD7A84"/>
    <w:rsid w:val="00BD7A9A"/>
    <w:rsid w:val="00BE0E66"/>
    <w:rsid w:val="00BE129A"/>
    <w:rsid w:val="00BE1E0C"/>
    <w:rsid w:val="00BE1EA4"/>
    <w:rsid w:val="00BE2C6D"/>
    <w:rsid w:val="00BE3E0A"/>
    <w:rsid w:val="00BE51D0"/>
    <w:rsid w:val="00BE711D"/>
    <w:rsid w:val="00BE7EC9"/>
    <w:rsid w:val="00BE7F3A"/>
    <w:rsid w:val="00BF5358"/>
    <w:rsid w:val="00C004C7"/>
    <w:rsid w:val="00C045AE"/>
    <w:rsid w:val="00C059F6"/>
    <w:rsid w:val="00C063F2"/>
    <w:rsid w:val="00C11635"/>
    <w:rsid w:val="00C1180E"/>
    <w:rsid w:val="00C11830"/>
    <w:rsid w:val="00C12501"/>
    <w:rsid w:val="00C14E7C"/>
    <w:rsid w:val="00C14F2D"/>
    <w:rsid w:val="00C15393"/>
    <w:rsid w:val="00C15648"/>
    <w:rsid w:val="00C15A74"/>
    <w:rsid w:val="00C15C66"/>
    <w:rsid w:val="00C16B1D"/>
    <w:rsid w:val="00C20370"/>
    <w:rsid w:val="00C20EE3"/>
    <w:rsid w:val="00C24D35"/>
    <w:rsid w:val="00C24FB1"/>
    <w:rsid w:val="00C252B7"/>
    <w:rsid w:val="00C2536E"/>
    <w:rsid w:val="00C25935"/>
    <w:rsid w:val="00C30B7B"/>
    <w:rsid w:val="00C30EB6"/>
    <w:rsid w:val="00C3118A"/>
    <w:rsid w:val="00C359D4"/>
    <w:rsid w:val="00C36098"/>
    <w:rsid w:val="00C36604"/>
    <w:rsid w:val="00C41C7B"/>
    <w:rsid w:val="00C426AA"/>
    <w:rsid w:val="00C4272E"/>
    <w:rsid w:val="00C43EB5"/>
    <w:rsid w:val="00C44854"/>
    <w:rsid w:val="00C44A9C"/>
    <w:rsid w:val="00C451FA"/>
    <w:rsid w:val="00C453D9"/>
    <w:rsid w:val="00C46FFA"/>
    <w:rsid w:val="00C507B2"/>
    <w:rsid w:val="00C528A1"/>
    <w:rsid w:val="00C5483D"/>
    <w:rsid w:val="00C57765"/>
    <w:rsid w:val="00C6179B"/>
    <w:rsid w:val="00C63A1C"/>
    <w:rsid w:val="00C63F89"/>
    <w:rsid w:val="00C64629"/>
    <w:rsid w:val="00C65771"/>
    <w:rsid w:val="00C657BB"/>
    <w:rsid w:val="00C6740F"/>
    <w:rsid w:val="00C7163D"/>
    <w:rsid w:val="00C71C2D"/>
    <w:rsid w:val="00C72659"/>
    <w:rsid w:val="00C7285B"/>
    <w:rsid w:val="00C73AF1"/>
    <w:rsid w:val="00C7521F"/>
    <w:rsid w:val="00C76F1F"/>
    <w:rsid w:val="00C81EBD"/>
    <w:rsid w:val="00C834A8"/>
    <w:rsid w:val="00C855FD"/>
    <w:rsid w:val="00C86370"/>
    <w:rsid w:val="00C86776"/>
    <w:rsid w:val="00C86860"/>
    <w:rsid w:val="00C87A88"/>
    <w:rsid w:val="00C97376"/>
    <w:rsid w:val="00CA0EBF"/>
    <w:rsid w:val="00CA1092"/>
    <w:rsid w:val="00CA3912"/>
    <w:rsid w:val="00CA458A"/>
    <w:rsid w:val="00CA632F"/>
    <w:rsid w:val="00CA7DDC"/>
    <w:rsid w:val="00CB0E06"/>
    <w:rsid w:val="00CB1413"/>
    <w:rsid w:val="00CB6496"/>
    <w:rsid w:val="00CB7537"/>
    <w:rsid w:val="00CC069E"/>
    <w:rsid w:val="00CC1C9F"/>
    <w:rsid w:val="00CC27D9"/>
    <w:rsid w:val="00CC3A03"/>
    <w:rsid w:val="00CC43E5"/>
    <w:rsid w:val="00CC44D8"/>
    <w:rsid w:val="00CC48E7"/>
    <w:rsid w:val="00CC63EC"/>
    <w:rsid w:val="00CC78FF"/>
    <w:rsid w:val="00CD06FA"/>
    <w:rsid w:val="00CD31F9"/>
    <w:rsid w:val="00CD3376"/>
    <w:rsid w:val="00CD4E5E"/>
    <w:rsid w:val="00CD612A"/>
    <w:rsid w:val="00CD61F9"/>
    <w:rsid w:val="00CD7D74"/>
    <w:rsid w:val="00CE075A"/>
    <w:rsid w:val="00CE0C1D"/>
    <w:rsid w:val="00CE1C4F"/>
    <w:rsid w:val="00CE2BE5"/>
    <w:rsid w:val="00CE33D8"/>
    <w:rsid w:val="00CE36AE"/>
    <w:rsid w:val="00CE3B7E"/>
    <w:rsid w:val="00CE4113"/>
    <w:rsid w:val="00CE5140"/>
    <w:rsid w:val="00CE5880"/>
    <w:rsid w:val="00CE7919"/>
    <w:rsid w:val="00CE7C5E"/>
    <w:rsid w:val="00CF086C"/>
    <w:rsid w:val="00CF12F2"/>
    <w:rsid w:val="00CF1990"/>
    <w:rsid w:val="00CF279F"/>
    <w:rsid w:val="00CF393A"/>
    <w:rsid w:val="00CF43A4"/>
    <w:rsid w:val="00CF5E34"/>
    <w:rsid w:val="00CF7FEE"/>
    <w:rsid w:val="00D034BE"/>
    <w:rsid w:val="00D04EDA"/>
    <w:rsid w:val="00D05BFF"/>
    <w:rsid w:val="00D06E3F"/>
    <w:rsid w:val="00D075CD"/>
    <w:rsid w:val="00D12DA4"/>
    <w:rsid w:val="00D13652"/>
    <w:rsid w:val="00D139CE"/>
    <w:rsid w:val="00D14FFD"/>
    <w:rsid w:val="00D15C79"/>
    <w:rsid w:val="00D21F92"/>
    <w:rsid w:val="00D23F6D"/>
    <w:rsid w:val="00D24335"/>
    <w:rsid w:val="00D243E9"/>
    <w:rsid w:val="00D25347"/>
    <w:rsid w:val="00D25E7B"/>
    <w:rsid w:val="00D25F0E"/>
    <w:rsid w:val="00D30434"/>
    <w:rsid w:val="00D312CA"/>
    <w:rsid w:val="00D33BB2"/>
    <w:rsid w:val="00D343D9"/>
    <w:rsid w:val="00D34E98"/>
    <w:rsid w:val="00D36D38"/>
    <w:rsid w:val="00D40963"/>
    <w:rsid w:val="00D40C78"/>
    <w:rsid w:val="00D411AE"/>
    <w:rsid w:val="00D41E2D"/>
    <w:rsid w:val="00D42215"/>
    <w:rsid w:val="00D430E1"/>
    <w:rsid w:val="00D4735E"/>
    <w:rsid w:val="00D51A8C"/>
    <w:rsid w:val="00D566A4"/>
    <w:rsid w:val="00D574A6"/>
    <w:rsid w:val="00D607FE"/>
    <w:rsid w:val="00D60CB1"/>
    <w:rsid w:val="00D64AA7"/>
    <w:rsid w:val="00D64C3B"/>
    <w:rsid w:val="00D66E04"/>
    <w:rsid w:val="00D67703"/>
    <w:rsid w:val="00D71586"/>
    <w:rsid w:val="00D73089"/>
    <w:rsid w:val="00D7316B"/>
    <w:rsid w:val="00D740FF"/>
    <w:rsid w:val="00D75FAB"/>
    <w:rsid w:val="00D77B80"/>
    <w:rsid w:val="00D80FEB"/>
    <w:rsid w:val="00D8133E"/>
    <w:rsid w:val="00D81615"/>
    <w:rsid w:val="00D81E01"/>
    <w:rsid w:val="00D823F4"/>
    <w:rsid w:val="00D823FA"/>
    <w:rsid w:val="00D82AF6"/>
    <w:rsid w:val="00D8545F"/>
    <w:rsid w:val="00D85833"/>
    <w:rsid w:val="00D87D88"/>
    <w:rsid w:val="00D951D9"/>
    <w:rsid w:val="00D960EB"/>
    <w:rsid w:val="00DA0438"/>
    <w:rsid w:val="00DA0A83"/>
    <w:rsid w:val="00DA1000"/>
    <w:rsid w:val="00DA138A"/>
    <w:rsid w:val="00DA4684"/>
    <w:rsid w:val="00DA4D71"/>
    <w:rsid w:val="00DA643D"/>
    <w:rsid w:val="00DA7874"/>
    <w:rsid w:val="00DA7A47"/>
    <w:rsid w:val="00DB55B1"/>
    <w:rsid w:val="00DB59B1"/>
    <w:rsid w:val="00DB63B1"/>
    <w:rsid w:val="00DC04C5"/>
    <w:rsid w:val="00DC2E67"/>
    <w:rsid w:val="00DC4294"/>
    <w:rsid w:val="00DC696D"/>
    <w:rsid w:val="00DC728A"/>
    <w:rsid w:val="00DC780F"/>
    <w:rsid w:val="00DD006B"/>
    <w:rsid w:val="00DD0F8E"/>
    <w:rsid w:val="00DD1772"/>
    <w:rsid w:val="00DD1C66"/>
    <w:rsid w:val="00DD25AA"/>
    <w:rsid w:val="00DD4608"/>
    <w:rsid w:val="00DD5B3C"/>
    <w:rsid w:val="00DE239D"/>
    <w:rsid w:val="00DE25E1"/>
    <w:rsid w:val="00DE39B8"/>
    <w:rsid w:val="00DE3A3D"/>
    <w:rsid w:val="00DE45ED"/>
    <w:rsid w:val="00DE5E2C"/>
    <w:rsid w:val="00DF140B"/>
    <w:rsid w:val="00DF181D"/>
    <w:rsid w:val="00DF2536"/>
    <w:rsid w:val="00DF3389"/>
    <w:rsid w:val="00DF39B5"/>
    <w:rsid w:val="00DF3FEA"/>
    <w:rsid w:val="00DF5D28"/>
    <w:rsid w:val="00DF6899"/>
    <w:rsid w:val="00E00387"/>
    <w:rsid w:val="00E00E37"/>
    <w:rsid w:val="00E01886"/>
    <w:rsid w:val="00E022A4"/>
    <w:rsid w:val="00E02AB3"/>
    <w:rsid w:val="00E03A14"/>
    <w:rsid w:val="00E04069"/>
    <w:rsid w:val="00E04A59"/>
    <w:rsid w:val="00E050F5"/>
    <w:rsid w:val="00E065E6"/>
    <w:rsid w:val="00E071FB"/>
    <w:rsid w:val="00E07A0D"/>
    <w:rsid w:val="00E07AC5"/>
    <w:rsid w:val="00E14D9C"/>
    <w:rsid w:val="00E15E24"/>
    <w:rsid w:val="00E17269"/>
    <w:rsid w:val="00E203B5"/>
    <w:rsid w:val="00E20C6E"/>
    <w:rsid w:val="00E23D35"/>
    <w:rsid w:val="00E2511D"/>
    <w:rsid w:val="00E253B2"/>
    <w:rsid w:val="00E257E9"/>
    <w:rsid w:val="00E25CFB"/>
    <w:rsid w:val="00E2768E"/>
    <w:rsid w:val="00E2784C"/>
    <w:rsid w:val="00E30C69"/>
    <w:rsid w:val="00E31A0F"/>
    <w:rsid w:val="00E31D77"/>
    <w:rsid w:val="00E3210F"/>
    <w:rsid w:val="00E32587"/>
    <w:rsid w:val="00E34028"/>
    <w:rsid w:val="00E35A5B"/>
    <w:rsid w:val="00E363FE"/>
    <w:rsid w:val="00E36B9A"/>
    <w:rsid w:val="00E37035"/>
    <w:rsid w:val="00E371FB"/>
    <w:rsid w:val="00E37F05"/>
    <w:rsid w:val="00E40063"/>
    <w:rsid w:val="00E401F2"/>
    <w:rsid w:val="00E50282"/>
    <w:rsid w:val="00E51031"/>
    <w:rsid w:val="00E5191E"/>
    <w:rsid w:val="00E528AD"/>
    <w:rsid w:val="00E547BE"/>
    <w:rsid w:val="00E54957"/>
    <w:rsid w:val="00E54BA3"/>
    <w:rsid w:val="00E5603E"/>
    <w:rsid w:val="00E6003D"/>
    <w:rsid w:val="00E61EA7"/>
    <w:rsid w:val="00E653A7"/>
    <w:rsid w:val="00E659D5"/>
    <w:rsid w:val="00E666AC"/>
    <w:rsid w:val="00E7030B"/>
    <w:rsid w:val="00E70857"/>
    <w:rsid w:val="00E709C3"/>
    <w:rsid w:val="00E71326"/>
    <w:rsid w:val="00E7289A"/>
    <w:rsid w:val="00E72DDC"/>
    <w:rsid w:val="00E7599E"/>
    <w:rsid w:val="00E759DF"/>
    <w:rsid w:val="00E76B4E"/>
    <w:rsid w:val="00E76E06"/>
    <w:rsid w:val="00E8078B"/>
    <w:rsid w:val="00E83DF9"/>
    <w:rsid w:val="00E8429D"/>
    <w:rsid w:val="00E8461C"/>
    <w:rsid w:val="00E85444"/>
    <w:rsid w:val="00E856F4"/>
    <w:rsid w:val="00E877B5"/>
    <w:rsid w:val="00E87B0A"/>
    <w:rsid w:val="00E87C50"/>
    <w:rsid w:val="00E93410"/>
    <w:rsid w:val="00E93742"/>
    <w:rsid w:val="00E95B08"/>
    <w:rsid w:val="00E960CB"/>
    <w:rsid w:val="00E96670"/>
    <w:rsid w:val="00E967C0"/>
    <w:rsid w:val="00E97B33"/>
    <w:rsid w:val="00E97DA1"/>
    <w:rsid w:val="00EA1BC7"/>
    <w:rsid w:val="00EA21D1"/>
    <w:rsid w:val="00EA31DC"/>
    <w:rsid w:val="00EA5A1A"/>
    <w:rsid w:val="00EA6732"/>
    <w:rsid w:val="00EA77E1"/>
    <w:rsid w:val="00EA7BC0"/>
    <w:rsid w:val="00EB26B5"/>
    <w:rsid w:val="00EB40AE"/>
    <w:rsid w:val="00EB7351"/>
    <w:rsid w:val="00EC082A"/>
    <w:rsid w:val="00EC0CE2"/>
    <w:rsid w:val="00EC0F9B"/>
    <w:rsid w:val="00EC1B10"/>
    <w:rsid w:val="00EC3163"/>
    <w:rsid w:val="00EC6C56"/>
    <w:rsid w:val="00EC70CD"/>
    <w:rsid w:val="00EC7F79"/>
    <w:rsid w:val="00ED1208"/>
    <w:rsid w:val="00ED321F"/>
    <w:rsid w:val="00ED362C"/>
    <w:rsid w:val="00ED3942"/>
    <w:rsid w:val="00ED48F1"/>
    <w:rsid w:val="00ED58A9"/>
    <w:rsid w:val="00ED69C0"/>
    <w:rsid w:val="00ED6C27"/>
    <w:rsid w:val="00EE1D40"/>
    <w:rsid w:val="00EE51DC"/>
    <w:rsid w:val="00EE57AC"/>
    <w:rsid w:val="00EE5EE9"/>
    <w:rsid w:val="00EE7DF1"/>
    <w:rsid w:val="00EF2491"/>
    <w:rsid w:val="00EF2E5D"/>
    <w:rsid w:val="00EF3907"/>
    <w:rsid w:val="00EF3C68"/>
    <w:rsid w:val="00EF5672"/>
    <w:rsid w:val="00EF68DF"/>
    <w:rsid w:val="00F00C37"/>
    <w:rsid w:val="00F0621D"/>
    <w:rsid w:val="00F0663E"/>
    <w:rsid w:val="00F10639"/>
    <w:rsid w:val="00F10D7D"/>
    <w:rsid w:val="00F1211C"/>
    <w:rsid w:val="00F132B0"/>
    <w:rsid w:val="00F13C61"/>
    <w:rsid w:val="00F22DC2"/>
    <w:rsid w:val="00F2343D"/>
    <w:rsid w:val="00F26796"/>
    <w:rsid w:val="00F26812"/>
    <w:rsid w:val="00F30C0A"/>
    <w:rsid w:val="00F318EF"/>
    <w:rsid w:val="00F32DA8"/>
    <w:rsid w:val="00F340CC"/>
    <w:rsid w:val="00F340DB"/>
    <w:rsid w:val="00F36516"/>
    <w:rsid w:val="00F41565"/>
    <w:rsid w:val="00F423F3"/>
    <w:rsid w:val="00F43FFF"/>
    <w:rsid w:val="00F4557E"/>
    <w:rsid w:val="00F4578B"/>
    <w:rsid w:val="00F46E5E"/>
    <w:rsid w:val="00F511CE"/>
    <w:rsid w:val="00F51300"/>
    <w:rsid w:val="00F524E4"/>
    <w:rsid w:val="00F52686"/>
    <w:rsid w:val="00F53ABB"/>
    <w:rsid w:val="00F53C1C"/>
    <w:rsid w:val="00F53CF6"/>
    <w:rsid w:val="00F5428F"/>
    <w:rsid w:val="00F545DB"/>
    <w:rsid w:val="00F549B1"/>
    <w:rsid w:val="00F56A9B"/>
    <w:rsid w:val="00F573D3"/>
    <w:rsid w:val="00F62523"/>
    <w:rsid w:val="00F62A5C"/>
    <w:rsid w:val="00F649A5"/>
    <w:rsid w:val="00F64C5A"/>
    <w:rsid w:val="00F70174"/>
    <w:rsid w:val="00F703DA"/>
    <w:rsid w:val="00F71A50"/>
    <w:rsid w:val="00F71F98"/>
    <w:rsid w:val="00F72173"/>
    <w:rsid w:val="00F72C0B"/>
    <w:rsid w:val="00F72D01"/>
    <w:rsid w:val="00F747A5"/>
    <w:rsid w:val="00F74E9B"/>
    <w:rsid w:val="00F753DA"/>
    <w:rsid w:val="00F7744F"/>
    <w:rsid w:val="00F81058"/>
    <w:rsid w:val="00F8265C"/>
    <w:rsid w:val="00F86B6C"/>
    <w:rsid w:val="00F86C6E"/>
    <w:rsid w:val="00F87980"/>
    <w:rsid w:val="00F90263"/>
    <w:rsid w:val="00F92440"/>
    <w:rsid w:val="00F92F09"/>
    <w:rsid w:val="00F95ECF"/>
    <w:rsid w:val="00FA3763"/>
    <w:rsid w:val="00FA49D3"/>
    <w:rsid w:val="00FA5B9B"/>
    <w:rsid w:val="00FA60EF"/>
    <w:rsid w:val="00FB1FD6"/>
    <w:rsid w:val="00FB3406"/>
    <w:rsid w:val="00FB4780"/>
    <w:rsid w:val="00FB4A2E"/>
    <w:rsid w:val="00FB4AA6"/>
    <w:rsid w:val="00FB5F01"/>
    <w:rsid w:val="00FB760E"/>
    <w:rsid w:val="00FB76E2"/>
    <w:rsid w:val="00FC0147"/>
    <w:rsid w:val="00FC3200"/>
    <w:rsid w:val="00FC3426"/>
    <w:rsid w:val="00FC3F6B"/>
    <w:rsid w:val="00FC4E25"/>
    <w:rsid w:val="00FC6E63"/>
    <w:rsid w:val="00FD0482"/>
    <w:rsid w:val="00FD314B"/>
    <w:rsid w:val="00FD3164"/>
    <w:rsid w:val="00FD5AEB"/>
    <w:rsid w:val="00FD5E28"/>
    <w:rsid w:val="00FD7736"/>
    <w:rsid w:val="00FE2611"/>
    <w:rsid w:val="00FE2A45"/>
    <w:rsid w:val="00FE31DA"/>
    <w:rsid w:val="00FE40D1"/>
    <w:rsid w:val="00FF06AB"/>
    <w:rsid w:val="00FF0DDF"/>
    <w:rsid w:val="00FF2EED"/>
    <w:rsid w:val="00FF3746"/>
    <w:rsid w:val="00FF3C28"/>
    <w:rsid w:val="00FF52C1"/>
    <w:rsid w:val="00FF52C4"/>
    <w:rsid w:val="00FF6E44"/>
    <w:rsid w:val="02B76C7D"/>
    <w:rsid w:val="046E0F2F"/>
    <w:rsid w:val="0B471443"/>
    <w:rsid w:val="0C0D6EF9"/>
    <w:rsid w:val="0D6622E3"/>
    <w:rsid w:val="0E157DD5"/>
    <w:rsid w:val="10446A84"/>
    <w:rsid w:val="146C2E86"/>
    <w:rsid w:val="16555A97"/>
    <w:rsid w:val="178517C9"/>
    <w:rsid w:val="19316F03"/>
    <w:rsid w:val="1D824173"/>
    <w:rsid w:val="23C2669D"/>
    <w:rsid w:val="23C41A45"/>
    <w:rsid w:val="2C9A6F6D"/>
    <w:rsid w:val="2EB86906"/>
    <w:rsid w:val="31277FC3"/>
    <w:rsid w:val="31786473"/>
    <w:rsid w:val="319A0340"/>
    <w:rsid w:val="33B573FF"/>
    <w:rsid w:val="33C474DD"/>
    <w:rsid w:val="346643AC"/>
    <w:rsid w:val="3A8655F3"/>
    <w:rsid w:val="3C425031"/>
    <w:rsid w:val="3C713E3D"/>
    <w:rsid w:val="3C9D5175"/>
    <w:rsid w:val="3DC6320C"/>
    <w:rsid w:val="3E6D1A7C"/>
    <w:rsid w:val="3F0B1B5B"/>
    <w:rsid w:val="3F340662"/>
    <w:rsid w:val="471A1C45"/>
    <w:rsid w:val="48C0423C"/>
    <w:rsid w:val="4A1962B3"/>
    <w:rsid w:val="4FF31631"/>
    <w:rsid w:val="502F64BD"/>
    <w:rsid w:val="51295BF6"/>
    <w:rsid w:val="52FF7D41"/>
    <w:rsid w:val="53634160"/>
    <w:rsid w:val="53AD7CDA"/>
    <w:rsid w:val="550E087B"/>
    <w:rsid w:val="578E4942"/>
    <w:rsid w:val="5BC1388C"/>
    <w:rsid w:val="5BE256D5"/>
    <w:rsid w:val="60471B32"/>
    <w:rsid w:val="611D2B72"/>
    <w:rsid w:val="65BA54E7"/>
    <w:rsid w:val="689C2F24"/>
    <w:rsid w:val="69676DA1"/>
    <w:rsid w:val="69F47724"/>
    <w:rsid w:val="6C575974"/>
    <w:rsid w:val="6CCB3653"/>
    <w:rsid w:val="6E0C3000"/>
    <w:rsid w:val="6EF845BA"/>
    <w:rsid w:val="6FCC5BB0"/>
    <w:rsid w:val="724516B5"/>
    <w:rsid w:val="726B1F38"/>
    <w:rsid w:val="734B2FC2"/>
    <w:rsid w:val="74727814"/>
    <w:rsid w:val="76114C42"/>
    <w:rsid w:val="7B6B5022"/>
    <w:rsid w:val="7C443EEA"/>
    <w:rsid w:val="7DB9085D"/>
    <w:rsid w:val="7F986DE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0" w:semiHidden="0" w:name="toc 1"/>
    <w:lsdException w:qFormat="1" w:unhideWhenUsed="0" w:uiPriority="0" w:semiHidden="0"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semiHidden="0" w:name="annotation text"/>
    <w:lsdException w:qFormat="1" w:unhideWhenUsed="0" w:uiPriority="99" w:semiHidden="0" w:name="header"/>
    <w:lsdException w:qFormat="1" w:unhideWhenUsed="0"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semiHidden="0"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nhideWhenUsed="0" w:uiPriority="0" w:semiHidden="0" w:name="Date"/>
    <w:lsdException w:uiPriority="99" w:name="Body Text First Indent"/>
    <w:lsdException w:uiPriority="99" w:name="Body Text First Indent 2"/>
    <w:lsdException w:uiPriority="99" w:name="Note Heading"/>
    <w:lsdException w:uiPriority="99" w:name="Body Text 2"/>
    <w:lsdException w:uiPriority="99" w:name="Body Text 3"/>
    <w:lsdException w:qFormat="1" w:unhideWhenUsed="0" w:uiPriority="0" w:semiHidden="0" w:name="Body Text Indent 2"/>
    <w:lsdException w:qFormat="1" w:uiPriority="99" w:name="Body Text Indent 3"/>
    <w:lsdException w:uiPriority="99" w:name="Block Text"/>
    <w:lsdException w:qFormat="1" w:unhideWhenUsed="0" w:uiPriority="0"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semiHidden="0"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character" w:default="1" w:styleId="17">
    <w:name w:val="Default Paragraph Font"/>
    <w:semiHidden/>
    <w:unhideWhenUsed/>
    <w:qFormat/>
    <w:uiPriority w:val="1"/>
  </w:style>
  <w:style w:type="table" w:default="1" w:styleId="15">
    <w:name w:val="Normal Table"/>
    <w:semiHidden/>
    <w:unhideWhenUsed/>
    <w:qFormat/>
    <w:uiPriority w:val="99"/>
    <w:tblPr>
      <w:tblCellMar>
        <w:top w:w="0" w:type="dxa"/>
        <w:left w:w="108" w:type="dxa"/>
        <w:bottom w:w="0" w:type="dxa"/>
        <w:right w:w="108" w:type="dxa"/>
      </w:tblCellMar>
    </w:tblPr>
  </w:style>
  <w:style w:type="paragraph" w:styleId="2">
    <w:name w:val="annotation text"/>
    <w:basedOn w:val="1"/>
    <w:link w:val="22"/>
    <w:unhideWhenUsed/>
    <w:qFormat/>
    <w:uiPriority w:val="99"/>
    <w:pPr>
      <w:jc w:val="left"/>
    </w:pPr>
  </w:style>
  <w:style w:type="paragraph" w:styleId="3">
    <w:name w:val="Body Text"/>
    <w:basedOn w:val="1"/>
    <w:qFormat/>
    <w:uiPriority w:val="0"/>
    <w:pPr>
      <w:spacing w:line="420" w:lineRule="exact"/>
    </w:pPr>
    <w:rPr>
      <w:rFonts w:ascii="楷体_GB2312" w:eastAsia="楷体_GB2312"/>
      <w:color w:val="000000"/>
      <w:sz w:val="32"/>
      <w:szCs w:val="30"/>
    </w:rPr>
  </w:style>
  <w:style w:type="paragraph" w:styleId="4">
    <w:name w:val="Body Text Indent"/>
    <w:basedOn w:val="1"/>
    <w:qFormat/>
    <w:uiPriority w:val="0"/>
    <w:pPr>
      <w:ind w:firstLine="640" w:firstLineChars="200"/>
    </w:pPr>
    <w:rPr>
      <w:rFonts w:ascii="仿宋_GB2312" w:eastAsia="仿宋_GB2312"/>
      <w:bCs/>
      <w:sz w:val="32"/>
    </w:rPr>
  </w:style>
  <w:style w:type="paragraph" w:styleId="5">
    <w:name w:val="Date"/>
    <w:basedOn w:val="1"/>
    <w:next w:val="1"/>
    <w:link w:val="20"/>
    <w:qFormat/>
    <w:uiPriority w:val="0"/>
    <w:pPr>
      <w:ind w:left="100" w:leftChars="2500"/>
    </w:pPr>
  </w:style>
  <w:style w:type="paragraph" w:styleId="6">
    <w:name w:val="Body Text Indent 2"/>
    <w:basedOn w:val="1"/>
    <w:qFormat/>
    <w:uiPriority w:val="0"/>
    <w:pPr>
      <w:spacing w:line="420" w:lineRule="exact"/>
      <w:ind w:firstLine="640" w:firstLineChars="200"/>
    </w:pPr>
    <w:rPr>
      <w:rFonts w:ascii="楷体_GB2312" w:eastAsia="楷体_GB2312"/>
      <w:color w:val="000000"/>
      <w:sz w:val="32"/>
      <w:szCs w:val="30"/>
    </w:rPr>
  </w:style>
  <w:style w:type="paragraph" w:styleId="7">
    <w:name w:val="Balloon Text"/>
    <w:basedOn w:val="1"/>
    <w:qFormat/>
    <w:uiPriority w:val="0"/>
    <w:rPr>
      <w:sz w:val="18"/>
      <w:szCs w:val="18"/>
    </w:rPr>
  </w:style>
  <w:style w:type="paragraph" w:styleId="8">
    <w:name w:val="footer"/>
    <w:basedOn w:val="1"/>
    <w:link w:val="23"/>
    <w:qFormat/>
    <w:uiPriority w:val="99"/>
    <w:pPr>
      <w:tabs>
        <w:tab w:val="center" w:pos="4153"/>
        <w:tab w:val="right" w:pos="8306"/>
      </w:tabs>
      <w:snapToGrid w:val="0"/>
      <w:jc w:val="left"/>
    </w:pPr>
    <w:rPr>
      <w:sz w:val="18"/>
      <w:szCs w:val="18"/>
    </w:rPr>
  </w:style>
  <w:style w:type="paragraph" w:styleId="9">
    <w:name w:val="header"/>
    <w:basedOn w:val="1"/>
    <w:link w:val="21"/>
    <w:qFormat/>
    <w:uiPriority w:val="99"/>
    <w:pPr>
      <w:pBdr>
        <w:bottom w:val="single" w:color="auto" w:sz="6" w:space="1"/>
      </w:pBdr>
      <w:tabs>
        <w:tab w:val="center" w:pos="4153"/>
        <w:tab w:val="right" w:pos="8306"/>
      </w:tabs>
      <w:snapToGrid w:val="0"/>
      <w:jc w:val="center"/>
    </w:pPr>
    <w:rPr>
      <w:sz w:val="18"/>
      <w:szCs w:val="18"/>
    </w:rPr>
  </w:style>
  <w:style w:type="paragraph" w:styleId="10">
    <w:name w:val="toc 1"/>
    <w:basedOn w:val="1"/>
    <w:next w:val="1"/>
    <w:qFormat/>
    <w:uiPriority w:val="0"/>
    <w:rPr>
      <w:rFonts w:ascii="Calibri" w:hAnsi="Calibri"/>
      <w:szCs w:val="21"/>
    </w:rPr>
  </w:style>
  <w:style w:type="paragraph" w:styleId="11">
    <w:name w:val="Body Text Indent 3"/>
    <w:basedOn w:val="1"/>
    <w:link w:val="26"/>
    <w:semiHidden/>
    <w:unhideWhenUsed/>
    <w:qFormat/>
    <w:uiPriority w:val="99"/>
    <w:pPr>
      <w:spacing w:after="120"/>
      <w:ind w:left="420" w:leftChars="200"/>
    </w:pPr>
    <w:rPr>
      <w:sz w:val="16"/>
      <w:szCs w:val="16"/>
    </w:rPr>
  </w:style>
  <w:style w:type="paragraph" w:styleId="12">
    <w:name w:val="toc 2"/>
    <w:basedOn w:val="1"/>
    <w:next w:val="1"/>
    <w:qFormat/>
    <w:uiPriority w:val="0"/>
    <w:pPr>
      <w:ind w:left="420" w:leftChars="200"/>
    </w:pPr>
    <w:rPr>
      <w:rFonts w:ascii="Calibri" w:hAnsi="Calibri"/>
      <w:szCs w:val="21"/>
    </w:rPr>
  </w:style>
  <w:style w:type="paragraph" w:styleId="13">
    <w:name w:val="Normal (Web)"/>
    <w:basedOn w:val="1"/>
    <w:semiHidden/>
    <w:unhideWhenUsed/>
    <w:qFormat/>
    <w:uiPriority w:val="99"/>
    <w:pPr>
      <w:widowControl/>
      <w:spacing w:before="100" w:beforeAutospacing="1" w:after="100" w:afterAutospacing="1"/>
      <w:jc w:val="left"/>
    </w:pPr>
    <w:rPr>
      <w:rFonts w:ascii="宋体" w:hAnsi="宋体" w:cs="宋体"/>
      <w:kern w:val="0"/>
      <w:sz w:val="24"/>
    </w:rPr>
  </w:style>
  <w:style w:type="paragraph" w:styleId="14">
    <w:name w:val="annotation subject"/>
    <w:basedOn w:val="2"/>
    <w:next w:val="2"/>
    <w:link w:val="24"/>
    <w:unhideWhenUsed/>
    <w:qFormat/>
    <w:uiPriority w:val="99"/>
    <w:rPr>
      <w:b/>
      <w:bCs/>
    </w:rPr>
  </w:style>
  <w:style w:type="table" w:styleId="16">
    <w:name w:val="Table Grid"/>
    <w:basedOn w:val="15"/>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8">
    <w:name w:val="Hyperlink"/>
    <w:basedOn w:val="17"/>
    <w:qFormat/>
    <w:uiPriority w:val="0"/>
    <w:rPr>
      <w:color w:val="0000FF"/>
      <w:u w:val="single"/>
    </w:rPr>
  </w:style>
  <w:style w:type="character" w:styleId="19">
    <w:name w:val="annotation reference"/>
    <w:unhideWhenUsed/>
    <w:qFormat/>
    <w:uiPriority w:val="99"/>
    <w:rPr>
      <w:sz w:val="21"/>
      <w:szCs w:val="21"/>
    </w:rPr>
  </w:style>
  <w:style w:type="character" w:customStyle="1" w:styleId="20">
    <w:name w:val="日期 字符"/>
    <w:link w:val="5"/>
    <w:qFormat/>
    <w:uiPriority w:val="0"/>
    <w:rPr>
      <w:kern w:val="2"/>
      <w:sz w:val="21"/>
      <w:szCs w:val="24"/>
    </w:rPr>
  </w:style>
  <w:style w:type="character" w:customStyle="1" w:styleId="21">
    <w:name w:val="页眉 字符"/>
    <w:link w:val="9"/>
    <w:qFormat/>
    <w:uiPriority w:val="99"/>
    <w:rPr>
      <w:kern w:val="2"/>
      <w:sz w:val="18"/>
      <w:szCs w:val="18"/>
    </w:rPr>
  </w:style>
  <w:style w:type="character" w:customStyle="1" w:styleId="22">
    <w:name w:val="批注文字 字符"/>
    <w:link w:val="2"/>
    <w:semiHidden/>
    <w:qFormat/>
    <w:uiPriority w:val="99"/>
    <w:rPr>
      <w:kern w:val="2"/>
      <w:sz w:val="21"/>
      <w:szCs w:val="24"/>
    </w:rPr>
  </w:style>
  <w:style w:type="character" w:customStyle="1" w:styleId="23">
    <w:name w:val="页脚 字符"/>
    <w:link w:val="8"/>
    <w:qFormat/>
    <w:uiPriority w:val="99"/>
    <w:rPr>
      <w:kern w:val="2"/>
      <w:sz w:val="18"/>
      <w:szCs w:val="18"/>
    </w:rPr>
  </w:style>
  <w:style w:type="character" w:customStyle="1" w:styleId="24">
    <w:name w:val="批注主题 字符"/>
    <w:link w:val="14"/>
    <w:semiHidden/>
    <w:qFormat/>
    <w:uiPriority w:val="99"/>
    <w:rPr>
      <w:b/>
      <w:bCs/>
      <w:kern w:val="2"/>
      <w:sz w:val="21"/>
      <w:szCs w:val="24"/>
    </w:rPr>
  </w:style>
  <w:style w:type="character" w:customStyle="1" w:styleId="25">
    <w:name w:val="_Style 22"/>
    <w:semiHidden/>
    <w:unhideWhenUsed/>
    <w:qFormat/>
    <w:uiPriority w:val="99"/>
    <w:rPr>
      <w:color w:val="605E5C"/>
      <w:shd w:val="clear" w:color="auto" w:fill="E1DFDD"/>
    </w:rPr>
  </w:style>
  <w:style w:type="character" w:customStyle="1" w:styleId="26">
    <w:name w:val="正文文本缩进 3 字符"/>
    <w:link w:val="11"/>
    <w:semiHidden/>
    <w:qFormat/>
    <w:uiPriority w:val="99"/>
    <w:rPr>
      <w:kern w:val="2"/>
      <w:sz w:val="16"/>
      <w:szCs w:val="16"/>
    </w:rPr>
  </w:style>
</w:style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image" Target="media/image1.jpeg"/><Relationship Id="rId7" Type="http://schemas.openxmlformats.org/officeDocument/2006/relationships/theme" Target="theme/theme1.xml"/><Relationship Id="rId6" Type="http://schemas.openxmlformats.org/officeDocument/2006/relationships/footer" Target="footer4.xml"/><Relationship Id="rId5" Type="http://schemas.openxmlformats.org/officeDocument/2006/relationships/footer" Target="footer3.xml"/><Relationship Id="rId4" Type="http://schemas.openxmlformats.org/officeDocument/2006/relationships/footer" Target="footer2.xml"/><Relationship Id="rId3" Type="http://schemas.openxmlformats.org/officeDocument/2006/relationships/footer" Target="footer1.xml"/><Relationship Id="rId2" Type="http://schemas.openxmlformats.org/officeDocument/2006/relationships/settings" Target="settings.xml"/><Relationship Id="rId12" Type="http://schemas.openxmlformats.org/officeDocument/2006/relationships/fontTable" Target="fontTable.xml"/><Relationship Id="rId11" Type="http://schemas.openxmlformats.org/officeDocument/2006/relationships/customXml" Target="../customXml/item2.xml"/><Relationship Id="rId10" Type="http://schemas.openxmlformats.org/officeDocument/2006/relationships/customXml" Target="../customXml/item1.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Root xmlns="http://www.founder.com/ReferenceTask">
  <Root taskID="91a4621c-8ebd-4263-b0c3-8cbba05dcc8e"/>
</Root>
</file>

<file path=customXml/item2.xml><?xml version="1.0" encoding="utf-8"?>
<Root xmlns="http://www.founder.com/ProofFile">
  <Root proofFileId="6d3cf585-2c5c-4ced-812a-dca3d1f1d0ac" proofVersionId="2"/>
</Root>
</file>

<file path=customXml/itemProps1.xml><?xml version="1.0" encoding="utf-8"?>
<ds:datastoreItem xmlns:ds="http://schemas.openxmlformats.org/officeDocument/2006/customXml" ds:itemID="{C4698001-2D05-4393-875D-FF19C016DAE3}">
  <ds:schemaRefs/>
</ds:datastoreItem>
</file>

<file path=customXml/itemProps2.xml><?xml version="1.0" encoding="utf-8"?>
<ds:datastoreItem xmlns:ds="http://schemas.openxmlformats.org/officeDocument/2006/customXml" ds:itemID="{022CCBCA-A8DB-4A7B-8BF6-DA4FAE9F6816}">
  <ds:schemaRefs/>
</ds:datastoreItem>
</file>

<file path=docProps/app.xml><?xml version="1.0" encoding="utf-8"?>
<Properties xmlns="http://schemas.openxmlformats.org/officeDocument/2006/extended-properties" xmlns:vt="http://schemas.openxmlformats.org/officeDocument/2006/docPropsVTypes">
  <Template>Normal</Template>
  <Company>net</Company>
  <Pages>14</Pages>
  <Words>5973</Words>
  <Characters>6916</Characters>
  <Lines>66</Lines>
  <Paragraphs>18</Paragraphs>
  <TotalTime>13</TotalTime>
  <ScaleCrop>false</ScaleCrop>
  <LinksUpToDate>false</LinksUpToDate>
  <CharactersWithSpaces>7094</CharactersWithSpaces>
  <Application>WPS Office_12.1.0.26895_F1E327BC-269C-435d-A152-05C5408002CA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2026-04-08T01:21:00Z</dcterms:created>
  <dc:creator>sf</dc:creator>
  <cp:lastModifiedBy>小米粥</cp:lastModifiedBy>
  <cp:lastPrinted>2026-06-10T01:15:00Z</cp:lastPrinted>
  <dcterms:modified xsi:type="dcterms:W3CDTF">2026-06-10T07:37:20Z</dcterms:modified>
  <dc:title>教电馆[2007]  号</dc:title>
  <cp:revision>25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2052-12.1.0.26895</vt:lpwstr>
  </property>
  <property fmtid="{D5CDD505-2E9C-101B-9397-08002B2CF9AE}" pid="3" name="KSOTemplateDocerSaveRecord">
    <vt:lpwstr>eyJoZGlkIjoiZTJkOGJlMzM5ZTJlYWM1Yzg0ZDY4YjM4MjBiMDEwNTYiLCJ1c2VySWQiOiI1MzQwNzg4NDcifQ==</vt:lpwstr>
  </property>
  <property fmtid="{D5CDD505-2E9C-101B-9397-08002B2CF9AE}" pid="4" name="ICV">
    <vt:lpwstr>C38306CC564F424F8AADE097E06384AA_13</vt:lpwstr>
  </property>
</Properties>
</file>