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B96C71">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17B9D218">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3298C885">
      <w:pPr>
        <w:pStyle w:val="7"/>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2026年（第54期）</w:t>
      </w:r>
    </w:p>
    <w:p w14:paraId="2CA872D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 w:hAnsi="楷体" w:eastAsia="楷体"/>
          <w:b/>
          <w:color w:val="FF0000"/>
          <w:sz w:val="32"/>
          <w:szCs w:val="32"/>
          <w:u w:val="single"/>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202</w:t>
      </w:r>
      <w:r>
        <w:rPr>
          <w:rFonts w:hint="eastAsia" w:ascii="楷体" w:hAnsi="楷体" w:eastAsia="楷体"/>
          <w:b/>
          <w:color w:val="FF0000"/>
          <w:sz w:val="32"/>
          <w:szCs w:val="32"/>
          <w:u w:val="single"/>
          <w:lang w:val="en-US" w:eastAsia="zh-CN"/>
        </w:rPr>
        <w:t>6</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5</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21</w:t>
      </w:r>
      <w:r>
        <w:rPr>
          <w:rFonts w:hint="eastAsia" w:ascii="楷体" w:hAnsi="楷体" w:eastAsia="楷体"/>
          <w:b/>
          <w:color w:val="FF0000"/>
          <w:sz w:val="32"/>
          <w:szCs w:val="32"/>
          <w:u w:val="single"/>
        </w:rPr>
        <w:t>日</w:t>
      </w:r>
      <w:bookmarkEnd w:id="0"/>
    </w:p>
    <w:p w14:paraId="2704157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b w:val="0"/>
          <w:color w:val="FF0000"/>
          <w:sz w:val="44"/>
          <w:szCs w:val="44"/>
          <w:lang w:val="en-US" w:eastAsia="zh-CN"/>
        </w:rPr>
      </w:pPr>
      <w:r>
        <w:rPr>
          <w:rFonts w:hint="eastAsia" w:ascii="方正小标宋简体" w:hAnsi="方正小标宋简体" w:eastAsia="方正小标宋简体" w:cs="方正小标宋简体"/>
          <w:b w:val="0"/>
          <w:color w:val="242424"/>
          <w:sz w:val="44"/>
          <w:szCs w:val="44"/>
          <w:lang w:val="en-US" w:eastAsia="zh-CN"/>
        </w:rPr>
        <w:t>钱塘逐梦研学路 采三跟岗促成长</w:t>
      </w:r>
    </w:p>
    <w:p w14:paraId="34276D5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黑体" w:hAnsi="黑体" w:eastAsia="黑体" w:cs="黑体"/>
          <w:b w:val="0"/>
          <w:color w:val="FF0000"/>
          <w:sz w:val="32"/>
          <w:szCs w:val="32"/>
          <w:lang w:val="en-US" w:eastAsia="zh-CN"/>
        </w:rPr>
      </w:pPr>
      <w:r>
        <w:rPr>
          <w:rFonts w:hint="eastAsia" w:ascii="黑体" w:hAnsi="黑体" w:eastAsia="黑体" w:cs="黑体"/>
          <w:b w:val="0"/>
          <w:color w:val="auto"/>
          <w:sz w:val="32"/>
          <w:szCs w:val="32"/>
          <w:lang w:val="en-US" w:eastAsia="zh-CN"/>
        </w:rPr>
        <w:t>——金凤一小教育集团教师赴杭州采荷三小跟岗学习</w:t>
      </w:r>
    </w:p>
    <w:p w14:paraId="08F0B1B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color w:val="auto"/>
          <w:sz w:val="32"/>
          <w:szCs w:val="32"/>
          <w:lang w:val="en-US" w:eastAsia="zh-CN"/>
        </w:rPr>
      </w:pPr>
      <w:r>
        <w:rPr>
          <w:rFonts w:hint="eastAsia" w:ascii="仿宋_GB2312" w:hAnsi="仿宋_GB2312" w:eastAsia="仿宋_GB2312" w:cs="仿宋_GB2312"/>
          <w:b w:val="0"/>
          <w:color w:val="auto"/>
          <w:sz w:val="32"/>
          <w:szCs w:val="32"/>
          <w:lang w:val="en-US" w:eastAsia="zh-CN"/>
        </w:rPr>
        <w:t>春尽夏初风正好，江南烟雨醉流年。五月的钱塘江两岸弥漫着温柔，梅雨轻扬，处处温婉如画。5月21日，怀揣着对教育教学的热忱与探索之心，金凤一小各校区19名骨干教师在集团总校贾秀云副校长的带领下，来到了美丽的采荷第三小学教育集团江锦校区，参加跟岗学习培训。本次活动，金凤一小教育集团领导班子高度重视，系统策划、精心安排，确保跟岗学习教师能全程投入，共赴一场难忘的学习之约。</w:t>
      </w:r>
    </w:p>
    <w:p w14:paraId="09B6BE2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color w:val="auto"/>
          <w:sz w:val="32"/>
          <w:szCs w:val="32"/>
          <w:lang w:val="en-US" w:eastAsia="zh-CN"/>
        </w:rPr>
      </w:pPr>
      <w:r>
        <w:rPr>
          <w:rFonts w:hint="eastAsia" w:ascii="仿宋_GB2312" w:hAnsi="仿宋_GB2312" w:eastAsia="仿宋_GB2312" w:cs="仿宋_GB2312"/>
          <w:b w:val="0"/>
          <w:color w:val="auto"/>
          <w:sz w:val="32"/>
          <w:szCs w:val="32"/>
          <w:lang w:val="en-US" w:eastAsia="zh-CN"/>
        </w:rPr>
        <w:t>被翠绿枝叶环绕的采荷三小校门口，“杭州采荷第三小学教育集团江锦校区”散发着优雅的气质。进入采荷三小，教学楼上赫然题写着：让每一位孩子摘到梦想中的星星。这所学校一定有着深厚的育人底蕴。</w:t>
      </w:r>
    </w:p>
    <w:p w14:paraId="10CBA87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color w:val="auto"/>
          <w:sz w:val="32"/>
          <w:szCs w:val="32"/>
          <w:lang w:val="en-US" w:eastAsia="zh-CN"/>
        </w:rPr>
      </w:pPr>
      <w:r>
        <w:rPr>
          <w:rFonts w:hint="eastAsia" w:ascii="仿宋_GB2312" w:hAnsi="仿宋_GB2312" w:eastAsia="仿宋_GB2312" w:cs="仿宋_GB2312"/>
          <w:b w:val="0"/>
          <w:color w:val="auto"/>
          <w:sz w:val="32"/>
          <w:szCs w:val="32"/>
          <w:lang w:val="en-US" w:eastAsia="zh-CN"/>
        </w:rPr>
        <w:t>简单的欢迎仪式后，德育部主任林佳丹老师为我们介绍了采荷三小的发展历史、教育教学理念、学校特色活动等，老师们听得格外认真。尤其是采荷三小的走读杭州综合实践活动，让老师们印象深刻。校园独具匠心的设计、温馨且富有内涵的环境，令跟岗老师们赞不绝口。</w:t>
      </w:r>
    </w:p>
    <w:p w14:paraId="5B295DB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color w:val="auto"/>
          <w:sz w:val="32"/>
          <w:szCs w:val="32"/>
          <w:lang w:val="en-US" w:eastAsia="zh-CN"/>
        </w:rPr>
      </w:pPr>
      <w:r>
        <w:rPr>
          <w:rFonts w:hint="eastAsia" w:ascii="仿宋_GB2312" w:hAnsi="仿宋_GB2312" w:eastAsia="仿宋_GB2312" w:cs="仿宋_GB2312"/>
          <w:b w:val="0"/>
          <w:color w:val="auto"/>
          <w:sz w:val="32"/>
          <w:szCs w:val="32"/>
          <w:lang w:val="en-US" w:eastAsia="zh-CN"/>
        </w:rPr>
        <w:t>集团教师发展中心副主任应凤飞作了题为《提升教师项目化学习设计与实践能力的校本研修》的专题讲座，分享了基于项目化学习推进的校本研修经验。通过课题引领、课程迭变、课例出新的方式，明确校本研修的关键点，丰富校本研修的突破点，找到项目化学习的落脚点。提高教师专业能力，让课题研究有路径，教研有抓手，成果有输出，正是我们此次培训最想听到的话题之一。</w:t>
      </w:r>
    </w:p>
    <w:p w14:paraId="1149C80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color w:val="auto"/>
          <w:sz w:val="32"/>
          <w:szCs w:val="32"/>
          <w:lang w:val="en-US" w:eastAsia="zh-CN"/>
        </w:rPr>
      </w:pPr>
      <w:r>
        <w:rPr>
          <w:rFonts w:hint="eastAsia" w:ascii="仿宋_GB2312" w:hAnsi="仿宋_GB2312" w:eastAsia="仿宋_GB2312" w:cs="仿宋_GB2312"/>
          <w:b w:val="0"/>
          <w:color w:val="auto"/>
          <w:sz w:val="32"/>
          <w:szCs w:val="32"/>
          <w:lang w:val="en-US" w:eastAsia="zh-CN"/>
        </w:rPr>
        <w:t>采荷三小江锦校区执行校长俞国芳为跟岗教师介绍了学校第三教育空间走读杭州主题综合实践课程的具体做法，以学校的办学愿景“让每一位孩子摘到梦想中的星星”为切入点，立足“三院一体”全环境德育工作体系，从顶层设计，构建德育体系。随后俞校长又重点做了《行走的课堂：协同育人视域下小学生涯启蒙教育的采三实践》报告，让我们深入了解在课程改革的大背景下，采三实践育人路径和模式的更迭创新。</w:t>
      </w:r>
    </w:p>
    <w:p w14:paraId="6E7A2DE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color w:val="auto"/>
          <w:sz w:val="32"/>
          <w:szCs w:val="32"/>
          <w:lang w:val="en-US" w:eastAsia="zh-CN"/>
        </w:rPr>
      </w:pPr>
      <w:r>
        <w:rPr>
          <w:rFonts w:hint="eastAsia" w:ascii="仿宋_GB2312" w:hAnsi="仿宋_GB2312" w:eastAsia="仿宋_GB2312" w:cs="仿宋_GB2312"/>
          <w:b w:val="0"/>
          <w:color w:val="auto"/>
          <w:sz w:val="32"/>
          <w:szCs w:val="32"/>
          <w:lang w:val="en-US" w:eastAsia="zh-CN"/>
        </w:rPr>
        <w:t>下午是AI专题培训。本次培训特邀浙江省教坛新秀、温州名师、高级教师朱力老师担任主讲，带来精彩的讲座《基于教育理解的AIGC应用与思考》。朱力老师用生动的案例、幽默的语言和前沿的视野，让老师们看到了AI与教育深度融合的无限可能AI不仅仅是工具，更是推动教育范式转变的力量。最后，朱力提出，在AI越来越便利的今天，我们要辩证地去看待AI。面向未来的教育，最重要的不再是知识和技能的堆砌，而是要培养“审美与品味”“批判性思维”能力。两个半小时的培训，兼具理论深度与实操价值，在思维碰撞中解锁AI教学新技能，让全体跟岗教师更明晰数字化教学新方向。</w:t>
      </w:r>
    </w:p>
    <w:p w14:paraId="3998005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color w:val="auto"/>
          <w:sz w:val="32"/>
          <w:szCs w:val="32"/>
          <w:lang w:val="en-US" w:eastAsia="zh-CN"/>
        </w:rPr>
      </w:pPr>
      <w:r>
        <w:rPr>
          <w:rFonts w:hint="eastAsia" w:ascii="仿宋_GB2312" w:hAnsi="仿宋_GB2312" w:eastAsia="仿宋_GB2312" w:cs="仿宋_GB2312"/>
          <w:b w:val="0"/>
          <w:color w:val="auto"/>
          <w:sz w:val="32"/>
          <w:szCs w:val="32"/>
          <w:lang w:val="en-US" w:eastAsia="zh-CN"/>
        </w:rPr>
        <w:t>全天的学习充实而有意义，采荷三小江锦校区美丽的校园环境让人心情愉悦，务实扎实的教学教研态度令人动容，扎根育人土壤拓宽育人路径的勇气令人敬佩，老师们的真诚沟通和热情接待让来自千里之外塞上江南的金凤一小教育集团的老师们感动无比。沉浸式学习、深层次思考，希望在杭州采荷第三小学教育集团学习的每一天都是这样满满的收获和感动。</w:t>
      </w:r>
    </w:p>
    <w:p w14:paraId="2BC0855E">
      <w:pPr>
        <w:rPr>
          <w:rFonts w:hint="eastAsia" w:ascii="黑体" w:hAnsi="黑体" w:eastAsia="黑体" w:cs="黑体"/>
          <w:bCs/>
          <w:color w:val="000000" w:themeColor="text1"/>
          <w:kern w:val="2"/>
          <w:sz w:val="32"/>
          <w:szCs w:val="32"/>
          <w:lang w:val="en-US" w:eastAsia="zh-CN" w:bidi="ar-SA"/>
          <w14:textFill>
            <w14:solidFill>
              <w14:schemeClr w14:val="tx1"/>
            </w14:solidFill>
          </w14:textFill>
        </w:rPr>
      </w:pPr>
      <w:r>
        <w:rPr>
          <w:rFonts w:hint="eastAsia" w:ascii="黑体" w:hAnsi="黑体" w:eastAsia="黑体" w:cs="黑体"/>
          <w:bCs/>
          <w:color w:val="000000" w:themeColor="text1"/>
          <w:kern w:val="2"/>
          <w:sz w:val="32"/>
          <w:szCs w:val="32"/>
          <w:lang w:val="en-US" w:eastAsia="zh-CN" w:bidi="ar-SA"/>
          <w14:textFill>
            <w14:solidFill>
              <w14:schemeClr w14:val="tx1"/>
            </w14:solidFill>
          </w14:textFill>
        </w:rPr>
        <w:drawing>
          <wp:inline distT="0" distB="0" distL="114300" distR="114300">
            <wp:extent cx="5240655" cy="4296410"/>
            <wp:effectExtent l="0" t="0" r="0" b="0"/>
            <wp:docPr id="20" name="图片 2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片1"/>
                    <pic:cNvPicPr>
                      <a:picLocks noChangeAspect="1"/>
                    </pic:cNvPicPr>
                  </pic:nvPicPr>
                  <pic:blipFill>
                    <a:blip r:embed="rId4"/>
                    <a:srcRect t="2139" b="3889"/>
                    <a:stretch>
                      <a:fillRect/>
                    </a:stretch>
                  </pic:blipFill>
                  <pic:spPr>
                    <a:xfrm>
                      <a:off x="0" y="0"/>
                      <a:ext cx="5240655" cy="4296410"/>
                    </a:xfrm>
                    <a:prstGeom prst="rect">
                      <a:avLst/>
                    </a:prstGeom>
                  </pic:spPr>
                </pic:pic>
              </a:graphicData>
            </a:graphic>
          </wp:inline>
        </w:drawing>
      </w:r>
      <w:r>
        <w:rPr>
          <w:rFonts w:hint="eastAsia" w:ascii="黑体" w:hAnsi="黑体" w:eastAsia="黑体" w:cs="黑体"/>
          <w:bCs/>
          <w:color w:val="000000" w:themeColor="text1"/>
          <w:kern w:val="2"/>
          <w:sz w:val="32"/>
          <w:szCs w:val="32"/>
          <w:lang w:val="en-US" w:eastAsia="zh-CN" w:bidi="ar-SA"/>
          <w14:textFill>
            <w14:solidFill>
              <w14:schemeClr w14:val="tx1"/>
            </w14:solidFill>
          </w14:textFill>
        </w:rPr>
        <w:drawing>
          <wp:inline distT="0" distB="0" distL="114300" distR="114300">
            <wp:extent cx="5248275" cy="4078605"/>
            <wp:effectExtent l="0" t="0" r="0" b="0"/>
            <wp:docPr id="19" name="图片 19"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图片2"/>
                    <pic:cNvPicPr>
                      <a:picLocks noChangeAspect="1"/>
                    </pic:cNvPicPr>
                  </pic:nvPicPr>
                  <pic:blipFill>
                    <a:blip r:embed="rId5"/>
                    <a:srcRect b="10643"/>
                    <a:stretch>
                      <a:fillRect/>
                    </a:stretch>
                  </pic:blipFill>
                  <pic:spPr>
                    <a:xfrm>
                      <a:off x="0" y="0"/>
                      <a:ext cx="5248275" cy="4078605"/>
                    </a:xfrm>
                    <a:prstGeom prst="rect">
                      <a:avLst/>
                    </a:prstGeom>
                  </pic:spPr>
                </pic:pic>
              </a:graphicData>
            </a:graphic>
          </wp:inline>
        </w:drawing>
      </w:r>
    </w:p>
    <w:p w14:paraId="55447E1C">
      <w:pPr>
        <w:rPr>
          <w:rFonts w:hint="eastAsia" w:ascii="黑体" w:hAnsi="黑体" w:eastAsia="黑体" w:cs="黑体"/>
          <w:bCs/>
          <w:color w:val="000000" w:themeColor="text1"/>
          <w:kern w:val="2"/>
          <w:sz w:val="32"/>
          <w:szCs w:val="32"/>
          <w:lang w:val="en-US" w:eastAsia="zh-CN" w:bidi="ar-SA"/>
          <w14:textFill>
            <w14:solidFill>
              <w14:schemeClr w14:val="tx1"/>
            </w14:solidFill>
          </w14:textFill>
        </w:rPr>
      </w:pPr>
    </w:p>
    <w:p w14:paraId="3B61E67F">
      <w:pPr>
        <w:rPr>
          <w:rFonts w:hint="eastAsia" w:ascii="黑体" w:hAnsi="黑体" w:eastAsia="黑体" w:cs="黑体"/>
          <w:bCs/>
          <w:color w:val="000000" w:themeColor="text1"/>
          <w:kern w:val="2"/>
          <w:sz w:val="32"/>
          <w:szCs w:val="32"/>
          <w:lang w:val="en-US" w:eastAsia="zh-CN" w:bidi="ar-SA"/>
          <w14:textFill>
            <w14:solidFill>
              <w14:schemeClr w14:val="tx1"/>
            </w14:solidFill>
          </w14:textFill>
        </w:rPr>
      </w:pPr>
      <w:r>
        <w:rPr>
          <w:rFonts w:hint="eastAsia" w:ascii="黑体" w:hAnsi="黑体" w:eastAsia="黑体" w:cs="黑体"/>
          <w:bCs/>
          <w:color w:val="000000" w:themeColor="text1"/>
          <w:kern w:val="2"/>
          <w:sz w:val="32"/>
          <w:szCs w:val="32"/>
          <w:lang w:val="en-US" w:eastAsia="zh-CN" w:bidi="ar-SA"/>
          <w14:textFill>
            <w14:solidFill>
              <w14:schemeClr w14:val="tx1"/>
            </w14:solidFill>
          </w14:textFill>
        </w:rPr>
        <w:drawing>
          <wp:inline distT="0" distB="0" distL="114300" distR="114300">
            <wp:extent cx="5245100" cy="4150995"/>
            <wp:effectExtent l="0" t="0" r="0" b="0"/>
            <wp:docPr id="18" name="图片 18"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片3"/>
                    <pic:cNvPicPr>
                      <a:picLocks noChangeAspect="1"/>
                    </pic:cNvPicPr>
                  </pic:nvPicPr>
                  <pic:blipFill>
                    <a:blip r:embed="rId6"/>
                    <a:srcRect t="5494"/>
                    <a:stretch>
                      <a:fillRect/>
                    </a:stretch>
                  </pic:blipFill>
                  <pic:spPr>
                    <a:xfrm>
                      <a:off x="0" y="0"/>
                      <a:ext cx="5245100" cy="4150995"/>
                    </a:xfrm>
                    <a:prstGeom prst="rect">
                      <a:avLst/>
                    </a:prstGeom>
                  </pic:spPr>
                </pic:pic>
              </a:graphicData>
            </a:graphic>
          </wp:inline>
        </w:drawing>
      </w:r>
      <w:r>
        <w:rPr>
          <w:rFonts w:hint="eastAsia" w:ascii="黑体" w:hAnsi="黑体" w:eastAsia="黑体" w:cs="黑体"/>
          <w:bCs/>
          <w:color w:val="000000" w:themeColor="text1"/>
          <w:kern w:val="2"/>
          <w:sz w:val="32"/>
          <w:szCs w:val="32"/>
          <w:lang w:val="en-US" w:eastAsia="zh-CN" w:bidi="ar-SA"/>
          <w14:textFill>
            <w14:solidFill>
              <w14:schemeClr w14:val="tx1"/>
            </w14:solidFill>
          </w14:textFill>
        </w:rPr>
        <w:drawing>
          <wp:inline distT="0" distB="0" distL="114300" distR="114300">
            <wp:extent cx="5266690" cy="4206875"/>
            <wp:effectExtent l="0" t="0" r="0" b="0"/>
            <wp:docPr id="17" name="图片 17"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片4"/>
                    <pic:cNvPicPr>
                      <a:picLocks noChangeAspect="1"/>
                    </pic:cNvPicPr>
                  </pic:nvPicPr>
                  <pic:blipFill>
                    <a:blip r:embed="rId7"/>
                    <a:srcRect b="5855"/>
                    <a:stretch>
                      <a:fillRect/>
                    </a:stretch>
                  </pic:blipFill>
                  <pic:spPr>
                    <a:xfrm>
                      <a:off x="0" y="0"/>
                      <a:ext cx="5266690" cy="4206875"/>
                    </a:xfrm>
                    <a:prstGeom prst="rect">
                      <a:avLst/>
                    </a:prstGeom>
                  </pic:spPr>
                </pic:pic>
              </a:graphicData>
            </a:graphic>
          </wp:inline>
        </w:drawing>
      </w:r>
    </w:p>
    <w:p w14:paraId="28ED4CC1">
      <w:pPr>
        <w:rPr>
          <w:rFonts w:hint="eastAsia" w:ascii="黑体" w:hAnsi="黑体" w:eastAsia="黑体" w:cs="黑体"/>
          <w:bCs/>
          <w:color w:val="000000" w:themeColor="text1"/>
          <w:kern w:val="2"/>
          <w:sz w:val="32"/>
          <w:szCs w:val="32"/>
          <w:lang w:val="en-US" w:eastAsia="zh-CN" w:bidi="ar-SA"/>
          <w14:textFill>
            <w14:solidFill>
              <w14:schemeClr w14:val="tx1"/>
            </w14:solidFill>
          </w14:textFill>
        </w:rPr>
      </w:pPr>
    </w:p>
    <w:p w14:paraId="4CB7AD4D">
      <w:pPr>
        <w:rPr>
          <w:rFonts w:hint="eastAsia" w:ascii="黑体" w:hAnsi="黑体" w:eastAsia="黑体" w:cs="黑体"/>
          <w:bCs/>
          <w:color w:val="000000" w:themeColor="text1"/>
          <w:kern w:val="2"/>
          <w:sz w:val="32"/>
          <w:szCs w:val="32"/>
          <w:lang w:val="en-US" w:eastAsia="zh-CN" w:bidi="ar-SA"/>
          <w14:textFill>
            <w14:solidFill>
              <w14:schemeClr w14:val="tx1"/>
            </w14:solidFill>
          </w14:textFill>
        </w:rPr>
      </w:pPr>
      <w:r>
        <w:rPr>
          <w:rFonts w:hint="eastAsia" w:ascii="黑体" w:hAnsi="黑体" w:eastAsia="黑体" w:cs="黑体"/>
          <w:bCs/>
          <w:color w:val="000000" w:themeColor="text1"/>
          <w:kern w:val="2"/>
          <w:sz w:val="32"/>
          <w:szCs w:val="32"/>
          <w:lang w:val="en-US" w:eastAsia="zh-CN" w:bidi="ar-SA"/>
          <w14:textFill>
            <w14:solidFill>
              <w14:schemeClr w14:val="tx1"/>
            </w14:solidFill>
          </w14:textFill>
        </w:rPr>
        <w:drawing>
          <wp:inline distT="0" distB="0" distL="114300" distR="114300">
            <wp:extent cx="5253990" cy="3940175"/>
            <wp:effectExtent l="0" t="0" r="3810" b="3175"/>
            <wp:docPr id="16" name="图片 16"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片5"/>
                    <pic:cNvPicPr>
                      <a:picLocks noChangeAspect="1"/>
                    </pic:cNvPicPr>
                  </pic:nvPicPr>
                  <pic:blipFill>
                    <a:blip r:embed="rId8"/>
                    <a:stretch>
                      <a:fillRect/>
                    </a:stretch>
                  </pic:blipFill>
                  <pic:spPr>
                    <a:xfrm>
                      <a:off x="0" y="0"/>
                      <a:ext cx="5253990" cy="3940175"/>
                    </a:xfrm>
                    <a:prstGeom prst="rect">
                      <a:avLst/>
                    </a:prstGeom>
                  </pic:spPr>
                </pic:pic>
              </a:graphicData>
            </a:graphic>
          </wp:inline>
        </w:drawing>
      </w:r>
      <w:r>
        <w:rPr>
          <w:rFonts w:hint="eastAsia" w:ascii="黑体" w:hAnsi="黑体" w:eastAsia="黑体" w:cs="黑体"/>
          <w:bCs/>
          <w:color w:val="000000" w:themeColor="text1"/>
          <w:kern w:val="2"/>
          <w:sz w:val="32"/>
          <w:szCs w:val="32"/>
          <w:lang w:val="en-US" w:eastAsia="zh-CN" w:bidi="ar-SA"/>
          <w14:textFill>
            <w14:solidFill>
              <w14:schemeClr w14:val="tx1"/>
            </w14:solidFill>
          </w14:textFill>
        </w:rPr>
        <w:drawing>
          <wp:inline distT="0" distB="0" distL="114300" distR="114300">
            <wp:extent cx="5253990" cy="3940175"/>
            <wp:effectExtent l="0" t="0" r="3810" b="3175"/>
            <wp:docPr id="15" name="图片 15" descr="微信图片_20260522093939_170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60522093939_170_19"/>
                    <pic:cNvPicPr>
                      <a:picLocks noChangeAspect="1"/>
                    </pic:cNvPicPr>
                  </pic:nvPicPr>
                  <pic:blipFill>
                    <a:blip r:embed="rId9"/>
                    <a:stretch>
                      <a:fillRect/>
                    </a:stretch>
                  </pic:blipFill>
                  <pic:spPr>
                    <a:xfrm>
                      <a:off x="0" y="0"/>
                      <a:ext cx="5253990" cy="3940175"/>
                    </a:xfrm>
                    <a:prstGeom prst="rect">
                      <a:avLst/>
                    </a:prstGeom>
                  </pic:spPr>
                </pic:pic>
              </a:graphicData>
            </a:graphic>
          </wp:inline>
        </w:drawing>
      </w:r>
    </w:p>
    <w:p w14:paraId="4744753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王 芳</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编校：</w:t>
      </w:r>
      <w:r>
        <w:rPr>
          <w:rFonts w:hint="eastAsia" w:ascii="仿宋_GB2312" w:hAnsi="仿宋_GB2312" w:eastAsia="仿宋_GB2312" w:cs="仿宋_GB2312"/>
          <w:color w:val="auto"/>
          <w:sz w:val="32"/>
          <w:szCs w:val="32"/>
          <w:u w:val="single"/>
          <w:lang w:val="en-US" w:eastAsia="zh-CN"/>
        </w:rPr>
        <w:t xml:space="preserve">贾秀云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sz w:val="32"/>
          <w:szCs w:val="32"/>
          <w:u w:val="single"/>
          <w:lang w:val="en-US" w:eastAsia="zh-CN"/>
        </w:rPr>
        <w:t>陈秋海</w:t>
      </w:r>
      <w:r>
        <w:rPr>
          <w:rFonts w:hint="eastAsia" w:ascii="仿宋_GB2312" w:hAnsi="仿宋_GB2312" w:eastAsia="仿宋_GB2312" w:cs="仿宋_GB2312"/>
          <w:color w:val="auto"/>
          <w:sz w:val="32"/>
          <w:szCs w:val="32"/>
          <w:u w:val="none"/>
          <w:lang w:val="en-US" w:eastAsia="zh-CN"/>
        </w:rPr>
        <w:t>抄送：金凤区教育局</w:t>
      </w:r>
      <w:bookmarkStart w:id="1" w:name="_GoBack"/>
      <w:bookmarkEnd w:id="1"/>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5A0F060-93B2-4094-B715-EC1DB9B7B3D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embedRegular r:id="rId2" w:fontKey="{73730934-8B55-4D0C-9885-B06EA0EA8BA4}"/>
  </w:font>
  <w:font w:name="楷体">
    <w:panose1 w:val="02010609060101010101"/>
    <w:charset w:val="7A"/>
    <w:family w:val="modern"/>
    <w:pitch w:val="default"/>
    <w:sig w:usb0="800002BF" w:usb1="38CF7CFA" w:usb2="00000016" w:usb3="00000000" w:csb0="00040001" w:csb1="00000000"/>
    <w:embedRegular r:id="rId3" w:fontKey="{404E530F-E55E-4E33-8F16-74894B172347}"/>
  </w:font>
  <w:font w:name="仿宋_GB2312">
    <w:panose1 w:val="02010609030101010101"/>
    <w:charset w:val="86"/>
    <w:family w:val="auto"/>
    <w:pitch w:val="default"/>
    <w:sig w:usb0="00000001" w:usb1="080E0000" w:usb2="00000000" w:usb3="00000000" w:csb0="00040000" w:csb1="00000000"/>
    <w:embedRegular r:id="rId4" w:fontKey="{9BFBAE90-5A93-4922-A102-CA43B5ECA929}"/>
  </w:font>
  <w:font w:name="仿宋">
    <w:panose1 w:val="02010609060101010101"/>
    <w:charset w:val="86"/>
    <w:family w:val="auto"/>
    <w:pitch w:val="default"/>
    <w:sig w:usb0="800002BF" w:usb1="38CF7CFA" w:usb2="00000016" w:usb3="00000000" w:csb0="00040001" w:csb1="00000000"/>
    <w:embedRegular r:id="rId5" w:fontKey="{81C3777B-1444-43DA-90C6-7083F1814AA2}"/>
  </w:font>
  <w:font w:name="Arial Unicode MS">
    <w:altName w:val="宋体"/>
    <w:panose1 w:val="020B0604020202020204"/>
    <w:charset w:val="86"/>
    <w:family w:val="auto"/>
    <w:pitch w:val="default"/>
    <w:sig w:usb0="00000000" w:usb1="00000000" w:usb2="0000003F" w:usb3="00000000" w:csb0="603F01FF" w:csb1="FFFF0000"/>
  </w:font>
  <w:font w:name="方正仿宋_GB2312">
    <w:altName w:val="仿宋"/>
    <w:panose1 w:val="02000000000000000000"/>
    <w:charset w:val="86"/>
    <w:family w:val="auto"/>
    <w:pitch w:val="default"/>
    <w:sig w:usb0="00000000" w:usb1="00000000" w:usb2="00000012" w:usb3="00000000" w:csb0="00040001" w:csb1="00000000"/>
  </w:font>
  <w:font w:name="KSOFE8852770">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1YTcyYzYzYTMyZjBmZDU3ZjBlYjQwODlmZDhiNjQifQ=="/>
  </w:docVars>
  <w:rsids>
    <w:rsidRoot w:val="00172A27"/>
    <w:rsid w:val="008A66FF"/>
    <w:rsid w:val="01A71868"/>
    <w:rsid w:val="02B01361"/>
    <w:rsid w:val="05191440"/>
    <w:rsid w:val="055F614D"/>
    <w:rsid w:val="07C76C27"/>
    <w:rsid w:val="08FD6983"/>
    <w:rsid w:val="09E72D5B"/>
    <w:rsid w:val="0B8B296C"/>
    <w:rsid w:val="0BB04180"/>
    <w:rsid w:val="0CB00C93"/>
    <w:rsid w:val="0DFE11D3"/>
    <w:rsid w:val="0ECE1FF2"/>
    <w:rsid w:val="0EE3138A"/>
    <w:rsid w:val="0F890F70"/>
    <w:rsid w:val="0FAA72DA"/>
    <w:rsid w:val="100625C1"/>
    <w:rsid w:val="109C4CD3"/>
    <w:rsid w:val="131D659F"/>
    <w:rsid w:val="15836462"/>
    <w:rsid w:val="15A34AD4"/>
    <w:rsid w:val="160022A7"/>
    <w:rsid w:val="16A20B69"/>
    <w:rsid w:val="16B22EEB"/>
    <w:rsid w:val="16D57191"/>
    <w:rsid w:val="172866A7"/>
    <w:rsid w:val="17591B70"/>
    <w:rsid w:val="1772678E"/>
    <w:rsid w:val="178869F9"/>
    <w:rsid w:val="17F347D8"/>
    <w:rsid w:val="189405F1"/>
    <w:rsid w:val="1905627E"/>
    <w:rsid w:val="191368D7"/>
    <w:rsid w:val="198D3D53"/>
    <w:rsid w:val="1A6A7BF0"/>
    <w:rsid w:val="1B5B5EB7"/>
    <w:rsid w:val="1BFD0D1C"/>
    <w:rsid w:val="1CD83AEE"/>
    <w:rsid w:val="1D5A65E9"/>
    <w:rsid w:val="1EDF6DFF"/>
    <w:rsid w:val="200C3C23"/>
    <w:rsid w:val="21865B26"/>
    <w:rsid w:val="21AE24A6"/>
    <w:rsid w:val="224B0307"/>
    <w:rsid w:val="229B20FD"/>
    <w:rsid w:val="23127C96"/>
    <w:rsid w:val="23476D20"/>
    <w:rsid w:val="241C1F5B"/>
    <w:rsid w:val="266F40CF"/>
    <w:rsid w:val="2674499C"/>
    <w:rsid w:val="28AB0083"/>
    <w:rsid w:val="29624A93"/>
    <w:rsid w:val="2ABD1394"/>
    <w:rsid w:val="2B17347C"/>
    <w:rsid w:val="2B9B322C"/>
    <w:rsid w:val="2BDB6BA0"/>
    <w:rsid w:val="2C134802"/>
    <w:rsid w:val="2C796EFE"/>
    <w:rsid w:val="2D8B3ED4"/>
    <w:rsid w:val="2DBD5D00"/>
    <w:rsid w:val="2DEF7B6A"/>
    <w:rsid w:val="2ECC22AF"/>
    <w:rsid w:val="2F0C3366"/>
    <w:rsid w:val="2F4800A8"/>
    <w:rsid w:val="30BE4524"/>
    <w:rsid w:val="318F1FBE"/>
    <w:rsid w:val="32C24615"/>
    <w:rsid w:val="32CD46FA"/>
    <w:rsid w:val="332E1CAB"/>
    <w:rsid w:val="33D76AF3"/>
    <w:rsid w:val="34037571"/>
    <w:rsid w:val="343155AF"/>
    <w:rsid w:val="34426A5F"/>
    <w:rsid w:val="360C18B4"/>
    <w:rsid w:val="36C85AB1"/>
    <w:rsid w:val="37FE6295"/>
    <w:rsid w:val="39C745C9"/>
    <w:rsid w:val="39D013C6"/>
    <w:rsid w:val="39DC5081"/>
    <w:rsid w:val="3A1C273B"/>
    <w:rsid w:val="3AB16F19"/>
    <w:rsid w:val="3CA01523"/>
    <w:rsid w:val="3D7824A0"/>
    <w:rsid w:val="3E66085F"/>
    <w:rsid w:val="3E9F4F3F"/>
    <w:rsid w:val="3EB511D0"/>
    <w:rsid w:val="3F72388F"/>
    <w:rsid w:val="3FE167C1"/>
    <w:rsid w:val="4007572D"/>
    <w:rsid w:val="405014B2"/>
    <w:rsid w:val="41820891"/>
    <w:rsid w:val="41A67CD5"/>
    <w:rsid w:val="429C36E0"/>
    <w:rsid w:val="42F2421C"/>
    <w:rsid w:val="43A06B34"/>
    <w:rsid w:val="43B81849"/>
    <w:rsid w:val="443469F5"/>
    <w:rsid w:val="449307AF"/>
    <w:rsid w:val="44B342D4"/>
    <w:rsid w:val="45486BFC"/>
    <w:rsid w:val="455E7EDC"/>
    <w:rsid w:val="458F0387"/>
    <w:rsid w:val="45992FB4"/>
    <w:rsid w:val="464B69C5"/>
    <w:rsid w:val="475D632B"/>
    <w:rsid w:val="47977DAD"/>
    <w:rsid w:val="47D9106F"/>
    <w:rsid w:val="484E2F2D"/>
    <w:rsid w:val="48B63E7D"/>
    <w:rsid w:val="4A084BAC"/>
    <w:rsid w:val="4ABF5CAE"/>
    <w:rsid w:val="4B704111"/>
    <w:rsid w:val="4B9A2BF7"/>
    <w:rsid w:val="4BC6615A"/>
    <w:rsid w:val="4C7B7570"/>
    <w:rsid w:val="4DD23507"/>
    <w:rsid w:val="4E854A1D"/>
    <w:rsid w:val="4F337FD5"/>
    <w:rsid w:val="4F5052E8"/>
    <w:rsid w:val="508D5E0B"/>
    <w:rsid w:val="51503990"/>
    <w:rsid w:val="517A3DFF"/>
    <w:rsid w:val="520806F5"/>
    <w:rsid w:val="523351F1"/>
    <w:rsid w:val="53890245"/>
    <w:rsid w:val="53D8273E"/>
    <w:rsid w:val="53F36F74"/>
    <w:rsid w:val="54AD082A"/>
    <w:rsid w:val="54C346FB"/>
    <w:rsid w:val="571C57F3"/>
    <w:rsid w:val="57A75A04"/>
    <w:rsid w:val="586B352E"/>
    <w:rsid w:val="58BC0970"/>
    <w:rsid w:val="58FA6008"/>
    <w:rsid w:val="59273569"/>
    <w:rsid w:val="59796272"/>
    <w:rsid w:val="59AA17DC"/>
    <w:rsid w:val="5A186745"/>
    <w:rsid w:val="5A845B89"/>
    <w:rsid w:val="5BDC0CC3"/>
    <w:rsid w:val="5C606182"/>
    <w:rsid w:val="5CB32755"/>
    <w:rsid w:val="5D7A50BF"/>
    <w:rsid w:val="5EDA221B"/>
    <w:rsid w:val="5EE50BC0"/>
    <w:rsid w:val="5F531FCE"/>
    <w:rsid w:val="5FFC08B7"/>
    <w:rsid w:val="60B24332"/>
    <w:rsid w:val="61D2367E"/>
    <w:rsid w:val="61DE2022"/>
    <w:rsid w:val="632C60F0"/>
    <w:rsid w:val="641A2177"/>
    <w:rsid w:val="645A795A"/>
    <w:rsid w:val="64A856F0"/>
    <w:rsid w:val="655A48CE"/>
    <w:rsid w:val="65AD71D2"/>
    <w:rsid w:val="65BB6A86"/>
    <w:rsid w:val="661E50E3"/>
    <w:rsid w:val="66495ED8"/>
    <w:rsid w:val="66A7157D"/>
    <w:rsid w:val="671732F8"/>
    <w:rsid w:val="673E21BE"/>
    <w:rsid w:val="674C5C80"/>
    <w:rsid w:val="67632168"/>
    <w:rsid w:val="68BC0EE4"/>
    <w:rsid w:val="69E734ED"/>
    <w:rsid w:val="6A590DE0"/>
    <w:rsid w:val="6A5F216E"/>
    <w:rsid w:val="6ADC37BF"/>
    <w:rsid w:val="6AE76A24"/>
    <w:rsid w:val="6C53185F"/>
    <w:rsid w:val="6C68355C"/>
    <w:rsid w:val="6CA16A6E"/>
    <w:rsid w:val="6CEE746C"/>
    <w:rsid w:val="6D176D30"/>
    <w:rsid w:val="6DC76061"/>
    <w:rsid w:val="6E032E11"/>
    <w:rsid w:val="6E744648"/>
    <w:rsid w:val="6EB5235D"/>
    <w:rsid w:val="6F7D3350"/>
    <w:rsid w:val="70210670"/>
    <w:rsid w:val="703379DD"/>
    <w:rsid w:val="70492C86"/>
    <w:rsid w:val="71715A6E"/>
    <w:rsid w:val="719E532A"/>
    <w:rsid w:val="72203F91"/>
    <w:rsid w:val="74185A85"/>
    <w:rsid w:val="743326A2"/>
    <w:rsid w:val="74D4132F"/>
    <w:rsid w:val="75123935"/>
    <w:rsid w:val="75C777FE"/>
    <w:rsid w:val="771C566F"/>
    <w:rsid w:val="78701101"/>
    <w:rsid w:val="79646E59"/>
    <w:rsid w:val="79962171"/>
    <w:rsid w:val="79E20709"/>
    <w:rsid w:val="7A635363"/>
    <w:rsid w:val="7A6A6523"/>
    <w:rsid w:val="7BAB5214"/>
    <w:rsid w:val="7BF3046F"/>
    <w:rsid w:val="7C2154D6"/>
    <w:rsid w:val="7C460A98"/>
    <w:rsid w:val="7C59441F"/>
    <w:rsid w:val="7CCB71F0"/>
    <w:rsid w:val="7D656DC7"/>
    <w:rsid w:val="7D9E2EE4"/>
    <w:rsid w:val="7DCC76C3"/>
    <w:rsid w:val="7DE241D2"/>
    <w:rsid w:val="7E484F9C"/>
    <w:rsid w:val="7E8F2BCB"/>
    <w:rsid w:val="7F947D6D"/>
    <w:rsid w:val="7FDD5B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6">
    <w:name w:val="Default Paragraph Font"/>
    <w:qFormat/>
    <w:uiPriority w:val="0"/>
    <w:rPr>
      <w:rFonts w:ascii="Calibri" w:hAnsi="Calibri" w:eastAsia="宋体" w:cs="Times New Roman"/>
    </w:rPr>
  </w:style>
  <w:style w:type="table" w:default="1" w:styleId="5">
    <w:name w:val="Normal Table"/>
    <w:qFormat/>
    <w:uiPriority w:val="0"/>
    <w:rPr>
      <w:rFonts w:ascii="Calibri" w:hAnsi="Calibri" w:eastAsia="宋体" w:cs="Times New Roman"/>
    </w:rPr>
    <w:tblPr>
      <w:tblCellMar>
        <w:top w:w="0" w:type="dxa"/>
        <w:left w:w="108" w:type="dxa"/>
        <w:bottom w:w="0" w:type="dxa"/>
        <w:right w:w="108" w:type="dxa"/>
      </w:tblCellMar>
    </w:tblPr>
  </w:style>
  <w:style w:type="paragraph" w:styleId="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7">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641</Words>
  <Characters>648</Characters>
  <Lines>0</Lines>
  <Paragraphs>0</Paragraphs>
  <TotalTime>11</TotalTime>
  <ScaleCrop>false</ScaleCrop>
  <LinksUpToDate>false</LinksUpToDate>
  <CharactersWithSpaces>694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2023-08-31T11:03:00Z</dcterms:created>
  <dc:creator>Administrator</dc:creator>
  <cp:lastModifiedBy>杨刚</cp:lastModifiedBy>
  <cp:lastPrinted>2024-04-15T23:50:00Z</cp:lastPrinted>
  <dcterms:modified xsi:type="dcterms:W3CDTF">2026-05-22T01:53:49Z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4F815FC18FCB494CBADB9E98B5A8E440_13</vt:lpwstr>
  </property>
  <property fmtid="{D5CDD505-2E9C-101B-9397-08002B2CF9AE}" pid="4" name="KSOTemplateDocerSaveRecord">
    <vt:lpwstr>eyJoZGlkIjoiYTM1MDVkMDVmNjY3NTMwMzIyODMzOTljZjJhZmRmOGYiLCJ1c2VySWQiOiIxNjgxMDQ4ODc1In0=</vt:lpwstr>
  </property>
</Properties>
</file>