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1FF20D">
      <w:pPr>
        <w:adjustRightInd w:val="0"/>
        <w:snapToGrid w:val="0"/>
        <w:spacing w:line="560" w:lineRule="exact"/>
        <w:rPr>
          <w:rFonts w:ascii="仿宋" w:hAnsi="仿宋" w:eastAsia="仿宋"/>
          <w:sz w:val="32"/>
          <w:szCs w:val="32"/>
        </w:rPr>
      </w:pPr>
      <w:r>
        <w:rPr>
          <w:rFonts w:hint="eastAsia" w:ascii="仿宋" w:hAnsi="仿宋" w:eastAsia="仿宋"/>
          <w:sz w:val="32"/>
          <w:szCs w:val="32"/>
        </w:rPr>
        <w:t>附件</w:t>
      </w:r>
      <w:r>
        <w:rPr>
          <w:rFonts w:ascii="仿宋" w:hAnsi="仿宋" w:eastAsia="仿宋"/>
          <w:sz w:val="32"/>
          <w:szCs w:val="32"/>
        </w:rPr>
        <w:t>1</w:t>
      </w:r>
    </w:p>
    <w:p w14:paraId="19581A89">
      <w:pPr>
        <w:adjustRightInd w:val="0"/>
        <w:snapToGrid w:val="0"/>
        <w:spacing w:line="560" w:lineRule="exact"/>
        <w:jc w:val="center"/>
        <w:rPr>
          <w:rFonts w:ascii="仿宋" w:hAnsi="仿宋" w:eastAsia="仿宋"/>
          <w:w w:val="90"/>
          <w:sz w:val="44"/>
          <w:szCs w:val="44"/>
        </w:rPr>
      </w:pPr>
      <w:r>
        <w:rPr>
          <w:rFonts w:hint="eastAsia" w:ascii="仿宋" w:hAnsi="仿宋" w:eastAsia="仿宋"/>
          <w:w w:val="90"/>
          <w:sz w:val="44"/>
          <w:szCs w:val="44"/>
        </w:rPr>
        <w:t>宁夏回族自治区教师资格认定体检标准及办法</w:t>
      </w:r>
    </w:p>
    <w:p w14:paraId="4D6175D8">
      <w:pPr>
        <w:adjustRightInd w:val="0"/>
        <w:snapToGrid w:val="0"/>
        <w:spacing w:line="560" w:lineRule="exact"/>
        <w:ind w:firstLine="640" w:firstLineChars="200"/>
        <w:rPr>
          <w:rFonts w:ascii="仿宋" w:hAnsi="仿宋" w:eastAsia="仿宋"/>
          <w:sz w:val="32"/>
          <w:szCs w:val="32"/>
        </w:rPr>
      </w:pPr>
      <w:r>
        <w:rPr>
          <w:rFonts w:ascii="仿宋" w:hAnsi="仿宋" w:eastAsia="仿宋"/>
          <w:sz w:val="32"/>
          <w:szCs w:val="32"/>
        </w:rPr>
        <w:t xml:space="preserve"> </w:t>
      </w:r>
    </w:p>
    <w:p w14:paraId="61C940D6">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根据《</w:t>
      </w:r>
      <w:r>
        <w:rPr>
          <w:rFonts w:hint="eastAsia" w:ascii="仿宋" w:hAnsi="仿宋" w:eastAsia="仿宋"/>
          <w:sz w:val="32"/>
          <w:szCs w:val="32"/>
          <w:lang w:val="en-US" w:eastAsia="zh-CN"/>
        </w:rPr>
        <w:t>中华人民共和国</w:t>
      </w:r>
      <w:r>
        <w:rPr>
          <w:rFonts w:hint="eastAsia" w:ascii="仿宋" w:hAnsi="仿宋" w:eastAsia="仿宋"/>
          <w:sz w:val="32"/>
          <w:szCs w:val="32"/>
        </w:rPr>
        <w:t>教师法》《教师资格条例》《</w:t>
      </w:r>
      <w:r>
        <w:rPr>
          <w:rFonts w:hint="eastAsia" w:ascii="仿宋" w:hAnsi="仿宋" w:eastAsia="仿宋"/>
          <w:sz w:val="32"/>
          <w:szCs w:val="32"/>
          <w:lang w:val="en-US" w:eastAsia="zh-CN"/>
        </w:rPr>
        <w:t>&lt;</w:t>
      </w:r>
      <w:r>
        <w:rPr>
          <w:rFonts w:hint="eastAsia" w:ascii="仿宋" w:hAnsi="仿宋" w:eastAsia="仿宋"/>
          <w:sz w:val="32"/>
          <w:szCs w:val="32"/>
        </w:rPr>
        <w:t>教师资格条例</w:t>
      </w:r>
      <w:r>
        <w:rPr>
          <w:rFonts w:hint="eastAsia" w:ascii="仿宋" w:hAnsi="仿宋" w:eastAsia="仿宋"/>
          <w:sz w:val="32"/>
          <w:szCs w:val="32"/>
          <w:lang w:val="en-US" w:eastAsia="zh-CN"/>
        </w:rPr>
        <w:t>&gt;</w:t>
      </w:r>
      <w:r>
        <w:rPr>
          <w:rFonts w:ascii="仿宋" w:hAnsi="仿宋" w:eastAsia="仿宋"/>
          <w:sz w:val="32"/>
          <w:szCs w:val="32"/>
        </w:rPr>
        <w:t xml:space="preserve"> </w:t>
      </w:r>
      <w:r>
        <w:rPr>
          <w:rFonts w:hint="eastAsia" w:ascii="仿宋" w:hAnsi="仿宋" w:eastAsia="仿宋"/>
          <w:sz w:val="32"/>
          <w:szCs w:val="32"/>
        </w:rPr>
        <w:t>实施办法》和《宁夏回族自治区教师资格制度实施细则》，参照《普通高等学校招生体检工作指导意见》《公务员录用体检通用标准》等，结合我区教师资格认定工作实际，特制定本办法。</w:t>
      </w:r>
    </w:p>
    <w:p w14:paraId="1BB6B3BD">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一、适用对象</w:t>
      </w:r>
    </w:p>
    <w:p w14:paraId="116A47AF">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本办法适用对象为在我区申请教师资格认定的人员。</w:t>
      </w:r>
    </w:p>
    <w:p w14:paraId="78A3BC6B">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二、体检结果分为合格、不合格</w:t>
      </w:r>
    </w:p>
    <w:p w14:paraId="22C2A4FF">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（一）严重心脏病、心肌病，不合格。</w:t>
      </w:r>
    </w:p>
    <w:p w14:paraId="4D4D3882">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先天性心脏病经手术治愈或室间隔缺损分流量少、动脉导管未闭返流血量少，经二级以上医院专科检查确定无需手术者，合格。</w:t>
      </w:r>
    </w:p>
    <w:p w14:paraId="70001B4A">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（二）结核病未治愈者不合格。</w:t>
      </w:r>
    </w:p>
    <w:p w14:paraId="4163A1B8">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原发性肺结核、继发性肺结核、结核性胸膜炎，临床治愈后稳定</w:t>
      </w:r>
      <w:r>
        <w:rPr>
          <w:rFonts w:ascii="仿宋" w:hAnsi="仿宋" w:eastAsia="仿宋"/>
          <w:sz w:val="32"/>
          <w:szCs w:val="32"/>
        </w:rPr>
        <w:t>1</w:t>
      </w:r>
      <w:r>
        <w:rPr>
          <w:rFonts w:hint="eastAsia" w:ascii="仿宋" w:hAnsi="仿宋" w:eastAsia="仿宋"/>
          <w:sz w:val="32"/>
          <w:szCs w:val="32"/>
        </w:rPr>
        <w:t>年无变化者，合格。</w:t>
      </w:r>
    </w:p>
    <w:p w14:paraId="15881519">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肺外结核病：肾结核、骨结核、腹膜结核、淋巴结核等，临床治愈后</w:t>
      </w:r>
      <w:r>
        <w:rPr>
          <w:rFonts w:ascii="仿宋" w:hAnsi="仿宋" w:eastAsia="仿宋"/>
          <w:sz w:val="32"/>
          <w:szCs w:val="32"/>
        </w:rPr>
        <w:t>2</w:t>
      </w:r>
      <w:r>
        <w:rPr>
          <w:rFonts w:hint="eastAsia" w:ascii="仿宋" w:hAnsi="仿宋" w:eastAsia="仿宋"/>
          <w:sz w:val="32"/>
          <w:szCs w:val="32"/>
        </w:rPr>
        <w:t>年无复发，经二级以上医院（或结核病防治所）检查无变化者，合格。</w:t>
      </w:r>
    </w:p>
    <w:p w14:paraId="6E66FFA8">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（三）严重的血液病，不合格。</w:t>
      </w:r>
    </w:p>
    <w:p w14:paraId="4CD3C559">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单纯性缺铁性贫血，血红蛋白男性高于</w:t>
      </w:r>
      <w:r>
        <w:rPr>
          <w:rFonts w:ascii="仿宋" w:hAnsi="仿宋" w:eastAsia="仿宋"/>
          <w:sz w:val="32"/>
          <w:szCs w:val="32"/>
        </w:rPr>
        <w:t>90g/L</w:t>
      </w:r>
      <w:r>
        <w:rPr>
          <w:rFonts w:hint="eastAsia" w:ascii="仿宋" w:hAnsi="仿宋" w:eastAsia="仿宋"/>
          <w:sz w:val="32"/>
          <w:szCs w:val="32"/>
        </w:rPr>
        <w:t>、女性高于</w:t>
      </w:r>
      <w:r>
        <w:rPr>
          <w:rFonts w:ascii="仿宋" w:hAnsi="仿宋" w:eastAsia="仿宋"/>
          <w:sz w:val="32"/>
          <w:szCs w:val="32"/>
        </w:rPr>
        <w:t>80g</w:t>
      </w:r>
      <w:r>
        <w:rPr>
          <w:rFonts w:hint="eastAsia" w:ascii="仿宋" w:hAnsi="仿宋" w:eastAsia="仿宋"/>
          <w:sz w:val="32"/>
          <w:szCs w:val="32"/>
        </w:rPr>
        <w:t>／</w:t>
      </w:r>
      <w:r>
        <w:rPr>
          <w:rFonts w:ascii="仿宋" w:hAnsi="仿宋" w:eastAsia="仿宋"/>
          <w:sz w:val="32"/>
          <w:szCs w:val="32"/>
        </w:rPr>
        <w:t>L</w:t>
      </w:r>
      <w:r>
        <w:rPr>
          <w:rFonts w:hint="eastAsia" w:ascii="仿宋" w:hAnsi="仿宋" w:eastAsia="仿宋"/>
          <w:sz w:val="32"/>
          <w:szCs w:val="32"/>
        </w:rPr>
        <w:t>，合格。</w:t>
      </w:r>
    </w:p>
    <w:p w14:paraId="6D6E70E0">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（四）慢性支气管炎伴阻塞性肺气肿、严重支气管扩张、严重支气管哮喘，不合格。</w:t>
      </w:r>
    </w:p>
    <w:p w14:paraId="37A8BA77">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（五）严重慢性胃、肠疾病不合格。</w:t>
      </w:r>
    </w:p>
    <w:p w14:paraId="5CC2B54D">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胃溃疡或十二指肠溃疡已愈合，且</w:t>
      </w:r>
      <w:r>
        <w:rPr>
          <w:rFonts w:ascii="仿宋" w:hAnsi="仿宋" w:eastAsia="仿宋"/>
          <w:sz w:val="32"/>
          <w:szCs w:val="32"/>
        </w:rPr>
        <w:t>1</w:t>
      </w:r>
      <w:r>
        <w:rPr>
          <w:rFonts w:hint="eastAsia" w:ascii="仿宋" w:hAnsi="仿宋" w:eastAsia="仿宋"/>
          <w:sz w:val="32"/>
          <w:szCs w:val="32"/>
        </w:rPr>
        <w:t>年内无出血史，</w:t>
      </w:r>
      <w:r>
        <w:rPr>
          <w:rFonts w:ascii="仿宋" w:hAnsi="仿宋" w:eastAsia="仿宋"/>
          <w:sz w:val="32"/>
          <w:szCs w:val="32"/>
        </w:rPr>
        <w:t>1</w:t>
      </w:r>
      <w:r>
        <w:rPr>
          <w:rFonts w:hint="eastAsia" w:ascii="仿宋" w:hAnsi="仿宋" w:eastAsia="仿宋"/>
          <w:sz w:val="32"/>
          <w:szCs w:val="32"/>
        </w:rPr>
        <w:t>年以上无症状者，合格。</w:t>
      </w:r>
    </w:p>
    <w:p w14:paraId="33B4900F">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胃次全切除术后无严重并发症者，合格。</w:t>
      </w:r>
    </w:p>
    <w:p w14:paraId="04798370">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（六）各种急慢性肝炎和肝硬化不合格。</w:t>
      </w:r>
    </w:p>
    <w:p w14:paraId="01C8A67C">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（七）恶性肿瘤不合格。</w:t>
      </w:r>
    </w:p>
    <w:p w14:paraId="03B5EF30">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（八）慢性肾炎、慢性肾盂炎、多囊肾、肾功能不全，或急性肾炎治愈不足</w:t>
      </w:r>
      <w:r>
        <w:rPr>
          <w:rFonts w:ascii="仿宋" w:hAnsi="仿宋" w:eastAsia="仿宋"/>
          <w:sz w:val="32"/>
          <w:szCs w:val="32"/>
        </w:rPr>
        <w:t>2</w:t>
      </w:r>
      <w:r>
        <w:rPr>
          <w:rFonts w:hint="eastAsia" w:ascii="仿宋" w:hAnsi="仿宋" w:eastAsia="仿宋"/>
          <w:sz w:val="32"/>
          <w:szCs w:val="32"/>
        </w:rPr>
        <w:t>年，不合格。</w:t>
      </w:r>
    </w:p>
    <w:p w14:paraId="023714EE">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（九）</w:t>
      </w:r>
      <w:r>
        <w:rPr>
          <w:rFonts w:ascii="仿宋" w:hAnsi="仿宋" w:eastAsia="仿宋"/>
          <w:sz w:val="32"/>
          <w:szCs w:val="32"/>
        </w:rPr>
        <w:t>I</w:t>
      </w:r>
      <w:r>
        <w:rPr>
          <w:rFonts w:hint="eastAsia" w:ascii="仿宋" w:hAnsi="仿宋" w:eastAsia="仿宋"/>
          <w:sz w:val="32"/>
          <w:szCs w:val="32"/>
        </w:rPr>
        <w:t>型糖尿病、П型糖尿病，伴心、脑、肾、眼及末梢循环等其他器官功能严重受损者，不合格。</w:t>
      </w:r>
    </w:p>
    <w:p w14:paraId="0767D98A">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尿崩症、肢端肥大症等内分泌系统疾病患者，不合格。</w:t>
      </w:r>
    </w:p>
    <w:p w14:paraId="131C3B77">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甲状腺功能亢进治愈后</w:t>
      </w:r>
      <w:r>
        <w:rPr>
          <w:rFonts w:ascii="仿宋" w:hAnsi="仿宋" w:eastAsia="仿宋"/>
          <w:sz w:val="32"/>
          <w:szCs w:val="32"/>
        </w:rPr>
        <w:t>1</w:t>
      </w:r>
      <w:r>
        <w:rPr>
          <w:rFonts w:hint="eastAsia" w:ascii="仿宋" w:hAnsi="仿宋" w:eastAsia="仿宋"/>
          <w:sz w:val="32"/>
          <w:szCs w:val="32"/>
        </w:rPr>
        <w:t>年无症状和体征者，合格。</w:t>
      </w:r>
    </w:p>
    <w:p w14:paraId="0F955658">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（十）有癫痫病史、精神病史、癔病史、严重的神经官能症（经常头痛头晕、失眠、记忆力明显下降等），精神活性物质滥用和依赖者，不合格。</w:t>
      </w:r>
    </w:p>
    <w:p w14:paraId="56E23561">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（十一）红斑狼疮、皮肌炎和多发性肌炎、硬皮病、结节性多动脉炎、类风湿性关节炎等各种弥漫性结缔组织疾病，大动脉炎，不合格。</w:t>
      </w:r>
    </w:p>
    <w:p w14:paraId="0F2A2C1B">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（十二）淋病、梅毒、软下疳、性病性淋巴肉芽肿、尖锐湿疣、生殖器疱疹，艾滋病，不合格。</w:t>
      </w:r>
    </w:p>
    <w:p w14:paraId="3BEFCD71">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（十三）晚期血吸虫病，晚期血丝虫病兼有橡皮肿或有乳糜尿，不合格。</w:t>
      </w:r>
    </w:p>
    <w:p w14:paraId="1960D76D">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（十四）色盲、色弱，幼儿园教师资格，不合格。</w:t>
      </w:r>
    </w:p>
    <w:p w14:paraId="3AB2068C">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（十五）青光眼、视网膜、视神经疾病，不合格。陈旧性或稳定性眼底病，合格。</w:t>
      </w:r>
    </w:p>
    <w:p w14:paraId="60F4F88C">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（十六）双耳均有听力障碍，在佩戴助听器情况下，双耳在</w:t>
      </w:r>
      <w:r>
        <w:rPr>
          <w:rFonts w:ascii="仿宋" w:hAnsi="仿宋" w:eastAsia="仿宋"/>
          <w:sz w:val="32"/>
          <w:szCs w:val="32"/>
        </w:rPr>
        <w:t>3</w:t>
      </w:r>
      <w:r>
        <w:rPr>
          <w:rFonts w:hint="eastAsia" w:ascii="仿宋" w:hAnsi="仿宋" w:eastAsia="仿宋"/>
          <w:sz w:val="32"/>
          <w:szCs w:val="32"/>
        </w:rPr>
        <w:t>米以内耳语仍听不见者，不合格。</w:t>
      </w:r>
    </w:p>
    <w:p w14:paraId="6DAC2E37">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（十七）四肢有一肢缺失或不能运动，借助辅助工具仍不能完成教学者，不合格。</w:t>
      </w:r>
    </w:p>
    <w:p w14:paraId="4F4CAB9B">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（十八）语言残疾或口腔有生理缺陷及耳、鼻、喉疾病之一并妨碍发音者，不合格。</w:t>
      </w:r>
    </w:p>
    <w:p w14:paraId="0B8AD702">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（十九）面部有较大面积（</w:t>
      </w:r>
      <w:r>
        <w:rPr>
          <w:rFonts w:ascii="仿宋" w:hAnsi="仿宋" w:eastAsia="仿宋"/>
          <w:sz w:val="32"/>
          <w:szCs w:val="32"/>
        </w:rPr>
        <w:t>3</w:t>
      </w:r>
      <w:r>
        <w:rPr>
          <w:rFonts w:hint="eastAsia" w:ascii="仿宋" w:hAnsi="仿宋" w:eastAsia="仿宋" w:cs="Arial"/>
          <w:sz w:val="32"/>
          <w:szCs w:val="32"/>
        </w:rPr>
        <w:t>×</w:t>
      </w:r>
      <w:r>
        <w:rPr>
          <w:rFonts w:ascii="仿宋" w:hAnsi="仿宋" w:eastAsia="仿宋"/>
          <w:sz w:val="32"/>
          <w:szCs w:val="32"/>
        </w:rPr>
        <w:t>3</w:t>
      </w:r>
      <w:r>
        <w:rPr>
          <w:rFonts w:hint="eastAsia" w:ascii="仿宋" w:hAnsi="仿宋" w:eastAsia="仿宋"/>
          <w:sz w:val="32"/>
          <w:szCs w:val="32"/>
        </w:rPr>
        <w:t>厘米）疤痕、血管瘤、白癜风、色素痣，或斜颈、面瘫、唇腭裂及其手术后遗症、一眼失明及五官先天或后天性残缺、畸形等情况，经修正和借助辅助工具仍严重影响面容者，幼儿园、小学教师资格，不合格。</w:t>
      </w:r>
    </w:p>
    <w:p w14:paraId="3BA70950">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（二十）申请幼儿园教师资格，淋球菌、梅毒螺旋体和妇科滴虫、外阴阴道假丝酵母菌（念球菌）检查阳性者，不合格。</w:t>
      </w:r>
    </w:p>
    <w:p w14:paraId="6E82F359">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三、体检机构</w:t>
      </w:r>
    </w:p>
    <w:p w14:paraId="00F45429">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各级教师资格认定机构依法指定县级以上体检医院或体检中心负责体检，所指定的体检医院须具有二级及以上资质、体检费用标准通过当地物价部门审核。</w:t>
      </w:r>
    </w:p>
    <w:p w14:paraId="696C3DC3">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四、体检要求</w:t>
      </w:r>
    </w:p>
    <w:p w14:paraId="354CF8C9">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（一）教师资格认定申请人员体检工作</w:t>
      </w:r>
      <w:r>
        <w:rPr>
          <w:rFonts w:hint="eastAsia" w:ascii="仿宋" w:hAnsi="仿宋" w:eastAsia="仿宋"/>
          <w:sz w:val="32"/>
          <w:szCs w:val="32"/>
          <w:lang w:eastAsia="zh-CN"/>
        </w:rPr>
        <w:t>既</w:t>
      </w:r>
      <w:r>
        <w:rPr>
          <w:rFonts w:hint="eastAsia" w:ascii="仿宋" w:hAnsi="仿宋" w:eastAsia="仿宋"/>
          <w:sz w:val="32"/>
          <w:szCs w:val="32"/>
        </w:rPr>
        <w:t>关乎申请人切身利益，又关乎教师队伍准入门槛，责任重大。各认定机构要加大对体检工作的协调、督查力度，及时与体检医院协商解决体检中出现的疑难问题。各指定体检医院要高度重视，客观公正、实事求是地开展体检工作，确保体检结论准确、真实。一旦发现体检环节弄虚作假，参与其中的申请人不得通过教师资格认定，参与其中的医务人员要严肃追责处理。体检医院出现严重问题的，认定机构除取消其体检资格外，还要报医院主管行政部门对其追责处理。</w:t>
      </w:r>
    </w:p>
    <w:p w14:paraId="1AA91B1D">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二）体检医院要指定一名副院长负责体检工作，并选调政治思想素质好、工作责任心强、作风正派、业务水平高的体检医师、护士和工作人员组成检查队伍。在每次体检前，组织检查人员认真学习政策规定及本办法。体检过程中，体检表、检验单须由医院指定专人传递和集中保管。每项检查，指定专人组织、逐个对照检查，坚决防止漏检或作弊。</w:t>
      </w:r>
    </w:p>
    <w:p w14:paraId="39500BCE">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三）参与体检工作的各科医师要对本科所检项目负责，不得漏填或错填。发现阳性体征，必须如实记入体检表，不得随意涂改。确需更正的，应首先在被更改的结果上横腰划线，确保其更改后仍然清晰可见，然后在旁边写上更改后的论断或数据，主检医师签名，并加盖体检医院公章，以示负责。疾病名称、化验结果及体检结论，均应用中文填写。</w:t>
      </w:r>
    </w:p>
    <w:p w14:paraId="34B0E335">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四）主检医师应及时综合各科检查结果，全面检查无误后，对照教师资格认定体检标准做出“合格”或“不合格”的结论，填写在体检结论栏内。医院根据体检综合情况，做出“体检合格”或“体检不合格”的结论，由负责院长签字并加盖公章，填写在体检医院意见栏内。</w:t>
      </w:r>
    </w:p>
    <w:p w14:paraId="5019E461">
      <w:pPr>
        <w:adjustRightInd w:val="0"/>
        <w:snapToGrid w:val="0"/>
        <w:spacing w:line="560" w:lineRule="exact"/>
        <w:ind w:firstLine="640" w:firstLineChars="200"/>
        <w:rPr>
          <w:rFonts w:ascii="仿宋" w:hAnsi="仿宋" w:eastAsia="仿宋"/>
          <w:sz w:val="32"/>
          <w:szCs w:val="32"/>
        </w:rPr>
      </w:pPr>
      <w:r>
        <w:rPr>
          <w:rFonts w:hint="eastAsia" w:ascii="仿宋" w:hAnsi="仿宋" w:eastAsia="仿宋"/>
          <w:sz w:val="32"/>
          <w:szCs w:val="32"/>
        </w:rPr>
        <w:t>（五）体检中若发现疑难问题，应采取集体会诊或进一步检查后再下结论。如因设备条件限制或会诊仍难判断的，申请人应到上一级认定机构指定的医院复查。复查时，只限单科复查，并用原体检表。复查医院对体检医院的诊断结论否定时，要在诊断证明书上详注复查结果。申请人在其他医疗机构自行取得的任何体检材料，均不得作为当事人申请认定教师资格健康状况的依据。</w:t>
      </w:r>
    </w:p>
    <w:p w14:paraId="37122DF9">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DE3A28"/>
    <w:rsid w:val="7ADE3A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2026-05-22T01:32:00Z</dcterms:created>
  <dc:creator>滕菲</dc:creator>
  <cp:lastModifiedBy>滕菲</cp:lastModifiedBy>
  <dcterms:modified xsi:type="dcterms:W3CDTF">2026-05-22T01:33:35Z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2276A7C043654354A49CEA3EC4CF1536_11</vt:lpwstr>
  </property>
  <property fmtid="{D5CDD505-2E9C-101B-9397-08002B2CF9AE}" pid="4" name="KSOTemplateDocerSaveRecord">
    <vt:lpwstr>eyJoZGlkIjoiODQ0ZTRlOTYzYTc1ODhhNmIxODhmNWViMDdkNjJhNWIiLCJ1c2VySWQiOiIzNzQ4NzQxMzIifQ==</vt:lpwstr>
  </property>
</Properties>
</file>