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A042FA">
      <w:pPr>
        <w:pStyle w:val="4"/>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等线" w:eastAsia="方正小标宋简体" w:cs="Times New Roman"/>
          <w:bCs/>
          <w:color w:val="FF0000"/>
          <w:sz w:val="44"/>
          <w:szCs w:val="44"/>
          <w:lang w:val="en-US" w:eastAsia="zh-CN"/>
        </w:rPr>
      </w:pPr>
      <w:bookmarkStart w:id="0" w:name="_Hlk163422587"/>
      <w:r>
        <w:rPr>
          <w:rFonts w:hint="eastAsia" w:ascii="方正小标宋简体" w:hAnsi="等线" w:eastAsia="方正小标宋简体" w:cs="Times New Roman"/>
          <w:bCs/>
          <w:color w:val="FF0000"/>
          <w:sz w:val="44"/>
          <w:szCs w:val="44"/>
          <w:lang w:val="en-US" w:eastAsia="zh-CN"/>
        </w:rPr>
        <w:t>银川市</w:t>
      </w:r>
      <w:r>
        <w:rPr>
          <w:rFonts w:hint="eastAsia" w:ascii="方正小标宋简体" w:hAnsi="等线" w:eastAsia="方正小标宋简体" w:cs="Times New Roman"/>
          <w:bCs/>
          <w:color w:val="FF0000"/>
          <w:sz w:val="44"/>
          <w:szCs w:val="44"/>
        </w:rPr>
        <w:t>金凤</w:t>
      </w:r>
      <w:r>
        <w:rPr>
          <w:rFonts w:hint="eastAsia" w:ascii="方正小标宋简体" w:hAnsi="等线" w:eastAsia="方正小标宋简体" w:cs="Times New Roman"/>
          <w:bCs/>
          <w:color w:val="FF0000"/>
          <w:sz w:val="44"/>
          <w:szCs w:val="44"/>
          <w:lang w:val="en-US" w:eastAsia="zh-CN"/>
        </w:rPr>
        <w:t>区第</w:t>
      </w:r>
      <w:r>
        <w:rPr>
          <w:rFonts w:hint="eastAsia" w:ascii="方正小标宋简体" w:hAnsi="等线" w:eastAsia="方正小标宋简体" w:cs="Times New Roman"/>
          <w:bCs/>
          <w:color w:val="FF0000"/>
          <w:sz w:val="44"/>
          <w:szCs w:val="44"/>
        </w:rPr>
        <w:t>一小</w:t>
      </w:r>
      <w:r>
        <w:rPr>
          <w:rFonts w:hint="eastAsia" w:ascii="方正小标宋简体" w:hAnsi="等线" w:eastAsia="方正小标宋简体" w:cs="Times New Roman"/>
          <w:bCs/>
          <w:color w:val="FF0000"/>
          <w:sz w:val="44"/>
          <w:szCs w:val="44"/>
          <w:lang w:val="en-US" w:eastAsia="zh-CN"/>
        </w:rPr>
        <w:t>学</w:t>
      </w:r>
    </w:p>
    <w:p w14:paraId="379BECFD">
      <w:pPr>
        <w:pStyle w:val="4"/>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等线" w:eastAsia="方正小标宋简体" w:cs="Times New Roman"/>
          <w:bCs/>
          <w:color w:val="FF0000"/>
          <w:sz w:val="44"/>
          <w:szCs w:val="44"/>
          <w:lang w:val="en-US" w:eastAsia="zh-CN"/>
        </w:rPr>
      </w:pPr>
      <w:r>
        <w:rPr>
          <w:rFonts w:hint="eastAsia" w:ascii="方正小标宋简体" w:hAnsi="等线" w:eastAsia="方正小标宋简体" w:cs="Times New Roman"/>
          <w:bCs/>
          <w:color w:val="FF0000"/>
          <w:sz w:val="44"/>
          <w:szCs w:val="44"/>
          <w:lang w:val="en-US" w:eastAsia="zh-CN"/>
        </w:rPr>
        <w:t>工作简报</w:t>
      </w:r>
    </w:p>
    <w:p w14:paraId="06335C80">
      <w:pPr>
        <w:pStyle w:val="4"/>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等线" w:eastAsia="方正小标宋简体" w:cs="Times New Roman"/>
          <w:bCs/>
          <w:color w:val="FF0000"/>
          <w:sz w:val="36"/>
          <w:szCs w:val="36"/>
          <w:lang w:val="en-US" w:eastAsia="zh-CN"/>
        </w:rPr>
      </w:pPr>
      <w:r>
        <w:rPr>
          <w:rFonts w:hint="eastAsia" w:ascii="方正小标宋简体" w:hAnsi="等线" w:eastAsia="方正小标宋简体" w:cs="Times New Roman"/>
          <w:bCs/>
          <w:color w:val="FF0000"/>
          <w:sz w:val="36"/>
          <w:szCs w:val="36"/>
          <w:lang w:val="en-US" w:eastAsia="zh-CN"/>
        </w:rPr>
        <w:t>2026年（第2</w:t>
      </w:r>
      <w:bookmarkStart w:id="1" w:name="_GoBack"/>
      <w:bookmarkEnd w:id="1"/>
      <w:r>
        <w:rPr>
          <w:rFonts w:hint="eastAsia" w:ascii="方正小标宋简体" w:hAnsi="等线" w:eastAsia="方正小标宋简体" w:cs="Times New Roman"/>
          <w:bCs/>
          <w:color w:val="FF0000"/>
          <w:sz w:val="36"/>
          <w:szCs w:val="36"/>
          <w:lang w:val="en-US" w:eastAsia="zh-CN"/>
        </w:rPr>
        <w:t>期）</w:t>
      </w:r>
    </w:p>
    <w:p w14:paraId="255F668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8"/>
        </w:rPr>
      </w:pPr>
      <w:r>
        <w:rPr>
          <w:rFonts w:hint="eastAsia" w:ascii="楷体" w:hAnsi="楷体" w:eastAsia="楷体"/>
          <w:b/>
          <w:color w:val="FF0000"/>
          <w:sz w:val="32"/>
          <w:szCs w:val="32"/>
          <w:u w:val="single"/>
        </w:rPr>
        <w:t>金凤区第一小学</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 xml:space="preserve">     </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 xml:space="preserve"> </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 xml:space="preserve">   202</w:t>
      </w:r>
      <w:r>
        <w:rPr>
          <w:rFonts w:hint="eastAsia" w:ascii="楷体" w:hAnsi="楷体" w:eastAsia="楷体"/>
          <w:b/>
          <w:color w:val="FF0000"/>
          <w:sz w:val="32"/>
          <w:szCs w:val="32"/>
          <w:u w:val="single"/>
          <w:lang w:val="en-US" w:eastAsia="zh-CN"/>
        </w:rPr>
        <w:t>6</w:t>
      </w:r>
      <w:r>
        <w:rPr>
          <w:rFonts w:hint="eastAsia" w:ascii="楷体" w:hAnsi="楷体" w:eastAsia="楷体"/>
          <w:b/>
          <w:color w:val="FF0000"/>
          <w:sz w:val="32"/>
          <w:szCs w:val="32"/>
          <w:u w:val="single"/>
        </w:rPr>
        <w:t>年</w:t>
      </w:r>
      <w:r>
        <w:rPr>
          <w:rFonts w:hint="eastAsia" w:ascii="楷体" w:hAnsi="楷体" w:eastAsia="楷体"/>
          <w:b/>
          <w:color w:val="FF0000"/>
          <w:sz w:val="32"/>
          <w:szCs w:val="32"/>
          <w:u w:val="single"/>
          <w:lang w:val="en-US" w:eastAsia="zh-CN"/>
        </w:rPr>
        <w:t>1</w:t>
      </w:r>
      <w:r>
        <w:rPr>
          <w:rFonts w:hint="eastAsia" w:ascii="楷体" w:hAnsi="楷体" w:eastAsia="楷体"/>
          <w:b/>
          <w:color w:val="FF0000"/>
          <w:sz w:val="32"/>
          <w:szCs w:val="32"/>
          <w:u w:val="single"/>
        </w:rPr>
        <w:t>月</w:t>
      </w:r>
      <w:r>
        <w:rPr>
          <w:rFonts w:hint="eastAsia" w:ascii="楷体" w:hAnsi="楷体" w:eastAsia="楷体"/>
          <w:b/>
          <w:color w:val="FF0000"/>
          <w:sz w:val="32"/>
          <w:szCs w:val="32"/>
          <w:u w:val="single"/>
          <w:lang w:val="en-US" w:eastAsia="zh-CN"/>
        </w:rPr>
        <w:t>5</w:t>
      </w:r>
      <w:r>
        <w:rPr>
          <w:rFonts w:hint="eastAsia" w:ascii="楷体" w:hAnsi="楷体" w:eastAsia="楷体"/>
          <w:b/>
          <w:color w:val="FF0000"/>
          <w:sz w:val="32"/>
          <w:szCs w:val="32"/>
          <w:u w:val="single"/>
        </w:rPr>
        <w:t>日</w:t>
      </w:r>
      <w:bookmarkEnd w:id="0"/>
    </w:p>
    <w:p w14:paraId="4B9FD3A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8"/>
        </w:rPr>
      </w:pPr>
      <w:r>
        <w:rPr>
          <w:rFonts w:hint="eastAsia" w:ascii="方正小标宋简体" w:hAnsi="方正小标宋简体" w:eastAsia="方正小标宋简体" w:cs="方正小标宋简体"/>
          <w:sz w:val="44"/>
          <w:szCs w:val="48"/>
          <w:lang w:eastAsia="zh-CN"/>
        </w:rPr>
        <w:t>禁放</w:t>
      </w:r>
      <w:r>
        <w:rPr>
          <w:rFonts w:hint="eastAsia" w:ascii="方正小标宋简体" w:hAnsi="方正小标宋简体" w:eastAsia="方正小标宋简体" w:cs="方正小标宋简体"/>
          <w:sz w:val="44"/>
          <w:szCs w:val="48"/>
        </w:rPr>
        <w:t xml:space="preserve">烟花爆竹 </w:t>
      </w:r>
      <w:r>
        <w:rPr>
          <w:rFonts w:hint="eastAsia" w:ascii="方正小标宋简体" w:hAnsi="方正小标宋简体" w:eastAsia="方正小标宋简体" w:cs="方正小标宋简体"/>
          <w:sz w:val="44"/>
          <w:szCs w:val="48"/>
          <w:lang w:val="en-US" w:eastAsia="zh-CN"/>
        </w:rPr>
        <w:t>守</w:t>
      </w:r>
      <w:r>
        <w:rPr>
          <w:rFonts w:hint="eastAsia" w:ascii="方正小标宋简体" w:hAnsi="方正小标宋简体" w:eastAsia="方正小标宋简体" w:cs="方正小标宋简体"/>
          <w:sz w:val="44"/>
          <w:szCs w:val="48"/>
        </w:rPr>
        <w:t>护平安家园</w:t>
      </w:r>
    </w:p>
    <w:p w14:paraId="138947B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黑体" w:hAnsi="黑体" w:eastAsia="黑体" w:cs="黑体"/>
          <w:sz w:val="32"/>
          <w:szCs w:val="36"/>
        </w:rPr>
      </w:pPr>
      <w:r>
        <w:rPr>
          <w:rFonts w:hint="eastAsia" w:ascii="黑体" w:hAnsi="黑体" w:eastAsia="黑体" w:cs="黑体"/>
          <w:sz w:val="32"/>
          <w:szCs w:val="36"/>
          <w:lang w:eastAsia="zh-CN"/>
        </w:rPr>
        <w:t>——</w:t>
      </w:r>
      <w:r>
        <w:rPr>
          <w:rFonts w:hint="eastAsia" w:ascii="黑体" w:hAnsi="黑体" w:eastAsia="黑体" w:cs="黑体"/>
          <w:sz w:val="32"/>
          <w:szCs w:val="36"/>
        </w:rPr>
        <w:t>金凤区第一小学开展烟花爆竹管控主题教育活动</w:t>
      </w:r>
    </w:p>
    <w:p w14:paraId="4851CFC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r>
        <w:rPr>
          <w:rFonts w:hint="eastAsia" w:ascii="仿宋_GB2312" w:hAnsi="仿宋_GB2312" w:eastAsia="仿宋_GB2312" w:cs="仿宋_GB2312"/>
          <w:sz w:val="32"/>
          <w:szCs w:val="36"/>
        </w:rPr>
        <w:t>为切实增强师生及家长的安全意识与环保意识，积极响应烟花爆竹管控相关要求，近日，金凤区第一小学多措并举开展系列主题教育活动，以“教育一个学生、带动一个家庭、影响一个社区”为目标，筑牢校园及周边安全防线。</w:t>
      </w:r>
    </w:p>
    <w:p w14:paraId="3489E2E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r>
        <w:rPr>
          <w:rFonts w:hint="eastAsia" w:ascii="仿宋_GB2312" w:hAnsi="仿宋_GB2312" w:eastAsia="仿宋_GB2312" w:cs="仿宋_GB2312"/>
          <w:sz w:val="32"/>
          <w:szCs w:val="36"/>
        </w:rPr>
        <w:t>活动伊始，学校以升旗仪式为契机，举行“禁放烟花爆竹   守护平安家园”主题教育活动。校领导在国旗下讲话中，结合真实案例深入浅出地讲解了燃放烟花爆竹的安全隐患与环境危害，向全体师生发出“不购买、不燃放、主动宣传”的倡议，引导学生争做烟花爆竹管控的践行者与宣传员。</w:t>
      </w:r>
    </w:p>
    <w:p w14:paraId="6E02415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r>
        <w:rPr>
          <w:rFonts w:hint="eastAsia" w:ascii="仿宋_GB2312" w:hAnsi="仿宋_GB2312" w:eastAsia="仿宋_GB2312" w:cs="仿宋_GB2312"/>
          <w:sz w:val="32"/>
          <w:szCs w:val="36"/>
        </w:rPr>
        <w:t>各班级随后同步开展主题班会。班主任通过多媒体课件、安全事故短视频等形式，系统解读烟花爆竹管控政策，组织学生围绕“文明过节的替代方式”展开热烈讨论，电子鞭炮、手工灯笼、春联创作等绿色创意层出不穷。同学们积极分享感悟，纷纷承诺将严格遵守管控规定，主动向家人传递安全理念。</w:t>
      </w:r>
    </w:p>
    <w:p w14:paraId="4463C98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r>
        <w:rPr>
          <w:rFonts w:hint="eastAsia" w:ascii="仿宋_GB2312" w:hAnsi="仿宋_GB2312" w:eastAsia="仿宋_GB2312" w:cs="仿宋_GB2312"/>
          <w:sz w:val="32"/>
          <w:szCs w:val="36"/>
        </w:rPr>
        <w:t>学校“善之声”广播站充分发挥宣传阵地作用，开设烟花爆竹管控专题栏目。通过播报管控政策解读、安全知识小贴士、学生倡议宣言等内容，让管控理念在校园内随处可闻、入脑入心，营造出浓厚的宣传教育氛围。</w:t>
      </w:r>
    </w:p>
    <w:p w14:paraId="5159C77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r>
        <w:rPr>
          <w:rFonts w:hint="eastAsia" w:ascii="仿宋_GB2312" w:hAnsi="仿宋_GB2312" w:eastAsia="仿宋_GB2312" w:cs="仿宋_GB2312"/>
          <w:sz w:val="32"/>
          <w:szCs w:val="36"/>
        </w:rPr>
        <w:t>为凝聚家校共育合力，学校通过官方微信公众号发布《致全体学生及家长的一封信》，详细阐述烟花爆竹燃放的危害及管控工作的重要意义，呼吁家长履行监护责任，引导孩子远离烟花爆竹，选择安全环保的节庆方式，并主动带动亲友参与管控工作。同时，学校将烟花爆竹管控相关要求融入寒假德育作业设计，通过布置“家庭宣传小任务”“文明过节手抄报”等特色作业，推动主题教育从校园延伸至家庭，实现家校协同守护平安。</w:t>
      </w:r>
    </w:p>
    <w:p w14:paraId="21EFFCC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r>
        <w:rPr>
          <w:rFonts w:hint="eastAsia" w:ascii="仿宋_GB2312" w:hAnsi="仿宋_GB2312" w:eastAsia="仿宋_GB2312" w:cs="仿宋_GB2312"/>
          <w:sz w:val="32"/>
          <w:szCs w:val="36"/>
        </w:rPr>
        <w:t>此次系列活动的开展，有效强化了全校师生及家长的安全防范意识与责任担当。下一步，金凤区第一小学将持续推进烟花爆竹管控宣传教育常态化，以多元形式巩固教育成效，携手家校社共同营造安全、文明、绿色的生活环境。</w:t>
      </w:r>
    </w:p>
    <w:p w14:paraId="364D18E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lang w:eastAsia="zh-CN"/>
        </w:rPr>
      </w:pPr>
      <w:r>
        <w:rPr>
          <w:rFonts w:hint="eastAsia" w:ascii="仿宋_GB2312" w:hAnsi="仿宋_GB2312" w:eastAsia="仿宋_GB2312" w:cs="仿宋_GB2312"/>
          <w:color w:val="auto"/>
          <w:sz w:val="32"/>
          <w:szCs w:val="32"/>
          <w:u w:val="single"/>
          <w:lang w:eastAsia="zh-CN"/>
        </w:rPr>
        <w:drawing>
          <wp:anchor distT="0" distB="0" distL="114300" distR="114300" simplePos="0" relativeHeight="251659264" behindDoc="0" locked="0" layoutInCell="1" allowOverlap="1">
            <wp:simplePos x="0" y="0"/>
            <wp:positionH relativeFrom="column">
              <wp:posOffset>13970</wp:posOffset>
            </wp:positionH>
            <wp:positionV relativeFrom="paragraph">
              <wp:posOffset>220345</wp:posOffset>
            </wp:positionV>
            <wp:extent cx="6184900" cy="4123055"/>
            <wp:effectExtent l="0" t="0" r="2540" b="6985"/>
            <wp:wrapNone/>
            <wp:docPr id="1" name="图片 1" descr="IMG_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447"/>
                    <pic:cNvPicPr>
                      <a:picLocks noChangeAspect="1"/>
                    </pic:cNvPicPr>
                  </pic:nvPicPr>
                  <pic:blipFill>
                    <a:blip r:embed="rId6"/>
                    <a:stretch>
                      <a:fillRect/>
                    </a:stretch>
                  </pic:blipFill>
                  <pic:spPr>
                    <a:xfrm>
                      <a:off x="0" y="0"/>
                      <a:ext cx="6184900" cy="4123055"/>
                    </a:xfrm>
                    <a:prstGeom prst="rect">
                      <a:avLst/>
                    </a:prstGeom>
                  </pic:spPr>
                </pic:pic>
              </a:graphicData>
            </a:graphic>
          </wp:anchor>
        </w:drawing>
      </w:r>
    </w:p>
    <w:p w14:paraId="7583E05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3464281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7DF398E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49D5F39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6B44185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5364F95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4708A88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0E5F39E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7AFFCFC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06F57BC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2244DC8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2AB6E26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374B19C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lang w:eastAsia="zh-CN"/>
        </w:rPr>
      </w:pPr>
      <w:r>
        <w:rPr>
          <w:rFonts w:hint="eastAsia" w:ascii="仿宋_GB2312" w:hAnsi="仿宋_GB2312" w:eastAsia="仿宋_GB2312" w:cs="仿宋_GB2312"/>
          <w:color w:val="auto"/>
          <w:sz w:val="32"/>
          <w:szCs w:val="32"/>
          <w:u w:val="single"/>
          <w:lang w:eastAsia="zh-CN"/>
        </w:rPr>
        <w:drawing>
          <wp:anchor distT="0" distB="0" distL="114300" distR="114300" simplePos="0" relativeHeight="251660288" behindDoc="0" locked="0" layoutInCell="1" allowOverlap="1">
            <wp:simplePos x="0" y="0"/>
            <wp:positionH relativeFrom="column">
              <wp:posOffset>200660</wp:posOffset>
            </wp:positionH>
            <wp:positionV relativeFrom="paragraph">
              <wp:posOffset>13335</wp:posOffset>
            </wp:positionV>
            <wp:extent cx="5444490" cy="3629660"/>
            <wp:effectExtent l="0" t="0" r="11430" b="12700"/>
            <wp:wrapNone/>
            <wp:docPr id="2" name="图片 2" descr="IMG_2450 -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450 - 副本"/>
                    <pic:cNvPicPr>
                      <a:picLocks noChangeAspect="1"/>
                    </pic:cNvPicPr>
                  </pic:nvPicPr>
                  <pic:blipFill>
                    <a:blip r:embed="rId7"/>
                    <a:stretch>
                      <a:fillRect/>
                    </a:stretch>
                  </pic:blipFill>
                  <pic:spPr>
                    <a:xfrm>
                      <a:off x="0" y="0"/>
                      <a:ext cx="5444490" cy="3629660"/>
                    </a:xfrm>
                    <a:prstGeom prst="rect">
                      <a:avLst/>
                    </a:prstGeom>
                  </pic:spPr>
                </pic:pic>
              </a:graphicData>
            </a:graphic>
          </wp:anchor>
        </w:drawing>
      </w:r>
    </w:p>
    <w:p w14:paraId="0DFA66C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1381AC1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656720E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021AAC6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4335494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1759E23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0466E5B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0BD721C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4028F05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198EA7D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r>
        <w:rPr>
          <w:rFonts w:hint="eastAsia" w:ascii="仿宋_GB2312" w:hAnsi="仿宋_GB2312" w:eastAsia="仿宋_GB2312" w:cs="仿宋_GB2312"/>
          <w:color w:val="auto"/>
          <w:sz w:val="32"/>
          <w:szCs w:val="32"/>
          <w:u w:val="single"/>
          <w:lang w:eastAsia="zh-CN"/>
        </w:rPr>
        <w:drawing>
          <wp:anchor distT="0" distB="0" distL="114300" distR="114300" simplePos="0" relativeHeight="251661312" behindDoc="0" locked="0" layoutInCell="1" allowOverlap="1">
            <wp:simplePos x="0" y="0"/>
            <wp:positionH relativeFrom="column">
              <wp:posOffset>193675</wp:posOffset>
            </wp:positionH>
            <wp:positionV relativeFrom="paragraph">
              <wp:posOffset>177800</wp:posOffset>
            </wp:positionV>
            <wp:extent cx="5509260" cy="3098165"/>
            <wp:effectExtent l="0" t="0" r="7620" b="10795"/>
            <wp:wrapNone/>
            <wp:docPr id="3" name="图片 3" descr="微信图片_202511241624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511241624061"/>
                    <pic:cNvPicPr>
                      <a:picLocks noChangeAspect="1"/>
                    </pic:cNvPicPr>
                  </pic:nvPicPr>
                  <pic:blipFill>
                    <a:blip r:embed="rId8"/>
                    <a:stretch>
                      <a:fillRect/>
                    </a:stretch>
                  </pic:blipFill>
                  <pic:spPr>
                    <a:xfrm>
                      <a:off x="0" y="0"/>
                      <a:ext cx="5509260" cy="3098165"/>
                    </a:xfrm>
                    <a:prstGeom prst="rect">
                      <a:avLst/>
                    </a:prstGeom>
                  </pic:spPr>
                </pic:pic>
              </a:graphicData>
            </a:graphic>
          </wp:anchor>
        </w:drawing>
      </w:r>
    </w:p>
    <w:p w14:paraId="54123B7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6C3C5B6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313FE2C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lang w:eastAsia="zh-CN"/>
        </w:rPr>
      </w:pPr>
    </w:p>
    <w:p w14:paraId="42D5D8C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01E83AA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6C3C9D2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02E0A2D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35888F7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3B9D5DD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1CA8729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2A3B417E">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color w:val="auto"/>
          <w:sz w:val="32"/>
          <w:szCs w:val="32"/>
          <w:u w:val="single"/>
          <w:lang w:val="en-US" w:eastAsia="zh-CN"/>
        </w:rPr>
      </w:pPr>
      <w:r>
        <w:rPr>
          <w:rFonts w:hint="eastAsia" w:ascii="仿宋_GB2312" w:hAnsi="仿宋_GB2312" w:eastAsia="仿宋_GB2312" w:cs="仿宋_GB2312"/>
          <w:color w:val="auto"/>
          <w:sz w:val="32"/>
          <w:szCs w:val="32"/>
          <w:u w:val="single"/>
        </w:rPr>
        <w:t>签发：</w:t>
      </w:r>
      <w:r>
        <w:rPr>
          <w:rFonts w:hint="eastAsia" w:ascii="仿宋_GB2312" w:hAnsi="仿宋_GB2312" w:eastAsia="仿宋_GB2312" w:cs="仿宋_GB2312"/>
          <w:color w:val="auto"/>
          <w:sz w:val="32"/>
          <w:szCs w:val="32"/>
          <w:u w:val="single"/>
          <w:lang w:val="en-US" w:eastAsia="zh-CN"/>
        </w:rPr>
        <w:t>马小燕</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eastAsia="zh-CN"/>
        </w:rPr>
        <w:t>审核：王嘉</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rPr>
        <w:t>供稿：</w:t>
      </w:r>
      <w:r>
        <w:rPr>
          <w:rFonts w:hint="eastAsia" w:ascii="仿宋_GB2312" w:hAnsi="仿宋_GB2312" w:eastAsia="仿宋_GB2312" w:cs="仿宋_GB2312"/>
          <w:color w:val="auto"/>
          <w:sz w:val="32"/>
          <w:szCs w:val="32"/>
          <w:u w:val="single"/>
          <w:lang w:val="en-US" w:eastAsia="zh-CN"/>
        </w:rPr>
        <w:t>凤帅</w:t>
      </w:r>
      <w:r>
        <w:rPr>
          <w:rFonts w:hint="eastAsia" w:ascii="仿宋_GB2312" w:hAnsi="仿宋_GB2312" w:eastAsia="仿宋_GB2312" w:cs="仿宋_GB2312"/>
          <w:sz w:val="32"/>
          <w:szCs w:val="32"/>
          <w:u w:val="single"/>
          <w:lang w:val="en-US" w:eastAsia="zh-CN"/>
        </w:rPr>
        <w:t xml:space="preserve"> </w:t>
      </w:r>
    </w:p>
    <w:p w14:paraId="1F4B6B8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32"/>
          <w:szCs w:val="32"/>
          <w:lang w:val="en-US" w:eastAsia="zh-CN"/>
        </w:rPr>
      </w:pPr>
      <w:r>
        <w:rPr>
          <w:rFonts w:hint="eastAsia" w:ascii="仿宋_GB2312" w:hAnsi="仿宋_GB2312" w:eastAsia="仿宋_GB2312" w:cs="仿宋_GB2312"/>
          <w:color w:val="auto"/>
          <w:sz w:val="32"/>
          <w:szCs w:val="32"/>
          <w:u w:val="none"/>
          <w:lang w:val="en-US" w:eastAsia="zh-CN"/>
        </w:rPr>
        <w:t>抄送：金凤区教育局</w:t>
      </w:r>
    </w:p>
    <w:p w14:paraId="6B94E96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6"/>
        </w:rPr>
      </w:pPr>
    </w:p>
    <w:sectPr>
      <w:headerReference r:id="rId3" w:type="default"/>
      <w:footerReference r:id="rId4" w:type="default"/>
      <w:pgSz w:w="11905" w:h="16840"/>
      <w:pgMar w:top="1440" w:right="1080" w:bottom="1440" w:left="108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0C53F7"/>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F03BB9"/>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ocumentProtection w:enforcement="0"/>
  <w:compat>
    <w:useFELayout/>
    <w:splitPgBreakAndParaMark/>
    <w:compatSetting w:name="compatibilityMode" w:uri="http://schemas.microsoft.com/office/word" w:val="12"/>
  </w:compat>
  <w:rsids>
    <w:rsidRoot w:val="00000000"/>
    <w:rsid w:val="1B7D683C"/>
    <w:rsid w:val="2A830120"/>
    <w:rsid w:val="747D359A"/>
    <w:rsid w:val="7B74498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p0"/>
    <w:basedOn w:val="1"/>
    <w:qFormat/>
    <w:uiPriority w:val="0"/>
    <w:rPr>
      <w:rFonts w:ascii="Calibri" w:hAnsi="Calibri" w:eastAsia="宋体" w:cs="宋体"/>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Pages>
  <Words>840</Words>
  <Characters>848</Characters>
  <TotalTime>4</TotalTime>
  <ScaleCrop>false</ScaleCrop>
  <LinksUpToDate>false</LinksUpToDate>
  <CharactersWithSpaces>896</CharactersWithSpaces>
  <Application>WPS Office_12.1.0.24657_F1E327BC-269C-435d-A152-05C5408002CA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2026-01-05T08:37:00Z</dcterms:created>
  <dc:creator>Apache POI</dc:creator>
  <cp:lastModifiedBy>清水果子</cp:lastModifiedBy>
  <dcterms:modified xsi:type="dcterms:W3CDTF">2026-01-15T01:50:43Z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eyJoZGlkIjoiYTM1MDVkMDVmNjY3NTMwMzIyODMzOTljZjJhZmRmOGYiLCJ1c2VySWQiOiI0ODI5NDg3MTIifQ==</vt:lpwstr>
  </property>
  <property fmtid="{D5CDD505-2E9C-101B-9397-08002B2CF9AE}" pid="3" name="KSOProductBuildVer">
    <vt:lpwstr>2052-12.1.0.24657</vt:lpwstr>
  </property>
  <property fmtid="{D5CDD505-2E9C-101B-9397-08002B2CF9AE}" pid="4" name="ICV">
    <vt:lpwstr>CF111684A9E2488BBD34B1CEB6EA31D8_12</vt:lpwstr>
  </property>
</Properties>
</file>