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38EE6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基础教育专项</w:t>
      </w:r>
    </w:p>
    <w:p w14:paraId="0DA899A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center"/>
        <w:textAlignment w:val="auto"/>
        <w:rPr>
          <w:rFonts w:hint="eastAsia" w:ascii="方正小标宋简体" w:hAnsi="方正小标宋简体" w:eastAsia="方正小标宋简体" w:cs="方正小标宋简体"/>
          <w:sz w:val="32"/>
          <w:szCs w:val="32"/>
          <w:highlight w:val="none"/>
          <w:lang w:val="en-US" w:eastAsia="zh-CN"/>
        </w:rPr>
      </w:pPr>
    </w:p>
    <w:p w14:paraId="00C8157D">
      <w:pPr>
        <w:pageBreakBefore w:val="0"/>
        <w:kinsoku/>
        <w:wordWrap/>
        <w:overflowPunct/>
        <w:topLinePunct w:val="0"/>
        <w:autoSpaceDE/>
        <w:autoSpaceDN/>
        <w:bidi w:val="0"/>
        <w:spacing w:line="560" w:lineRule="exact"/>
        <w:ind w:firstLine="640" w:firstLineChars="200"/>
        <w:textAlignment w:val="auto"/>
        <w:rPr>
          <w:rFonts w:hint="eastAsia" w:ascii="方正小标宋简体" w:hAnsi="方正小标宋简体" w:eastAsia="方正小标宋简体" w:cs="方正小标宋简体"/>
          <w:sz w:val="32"/>
          <w:szCs w:val="32"/>
          <w:highlight w:val="none"/>
          <w:lang w:val="en-US" w:eastAsia="zh-CN"/>
        </w:rPr>
      </w:pPr>
      <w:r>
        <w:rPr>
          <w:rFonts w:hint="eastAsia" w:ascii="仿宋_GB2312" w:hAnsi="仿宋_GB2312" w:eastAsia="仿宋_GB2312" w:cs="仿宋_GB2312"/>
          <w:bCs/>
          <w:sz w:val="32"/>
          <w:szCs w:val="32"/>
        </w:rPr>
        <w:t>2025</w:t>
      </w:r>
      <w:r>
        <w:rPr>
          <w:rFonts w:hint="default" w:ascii="Times New Roman" w:hAnsi="Times New Roman" w:eastAsia="仿宋_GB2312" w:cs="Times New Roman"/>
          <w:bCs/>
          <w:sz w:val="32"/>
          <w:szCs w:val="32"/>
        </w:rPr>
        <w:t>年</w:t>
      </w:r>
      <w:r>
        <w:rPr>
          <w:rFonts w:hint="eastAsia" w:eastAsia="仿宋_GB2312" w:cs="Times New Roman"/>
          <w:bCs/>
          <w:sz w:val="32"/>
          <w:szCs w:val="32"/>
          <w:lang w:val="en-US" w:eastAsia="zh-CN"/>
        </w:rPr>
        <w:t>基础教育</w:t>
      </w:r>
      <w:r>
        <w:rPr>
          <w:rFonts w:hint="default" w:ascii="Times New Roman" w:hAnsi="Times New Roman" w:eastAsia="仿宋_GB2312" w:cs="Times New Roman"/>
          <w:bCs/>
          <w:sz w:val="32"/>
          <w:szCs w:val="32"/>
        </w:rPr>
        <w:t>专项征集两类</w:t>
      </w:r>
      <w:r>
        <w:rPr>
          <w:rFonts w:hint="eastAsia" w:eastAsia="仿宋_GB2312" w:cs="Times New Roman"/>
          <w:bCs/>
          <w:sz w:val="32"/>
          <w:szCs w:val="32"/>
          <w:lang w:val="en-US" w:eastAsia="zh-CN"/>
        </w:rPr>
        <w:t>作品</w:t>
      </w:r>
      <w:r>
        <w:rPr>
          <w:rFonts w:hint="default" w:ascii="Times New Roman" w:hAnsi="Times New Roman" w:eastAsia="仿宋_GB2312" w:cs="Times New Roman"/>
          <w:bCs/>
          <w:sz w:val="32"/>
          <w:szCs w:val="32"/>
        </w:rPr>
        <w:t>：</w:t>
      </w:r>
      <w:r>
        <w:rPr>
          <w:rFonts w:hint="eastAsia" w:ascii="Times New Roman" w:hAnsi="Times New Roman" w:eastAsia="仿宋_GB2312" w:cs="Times New Roman"/>
          <w:bCs/>
          <w:sz w:val="32"/>
          <w:szCs w:val="32"/>
          <w:lang w:val="en-US" w:eastAsia="zh-CN"/>
        </w:rPr>
        <w:t>中小学人工智能教育教学课例</w:t>
      </w:r>
      <w:r>
        <w:rPr>
          <w:rFonts w:hint="default" w:ascii="Times New Roman" w:hAnsi="Times New Roman" w:eastAsia="仿宋_GB2312" w:cs="Times New Roman"/>
          <w:bCs/>
          <w:sz w:val="32"/>
          <w:szCs w:val="32"/>
        </w:rPr>
        <w:t>、</w:t>
      </w:r>
      <w:r>
        <w:rPr>
          <w:rFonts w:hint="eastAsia" w:ascii="Times New Roman" w:hAnsi="Times New Roman" w:eastAsia="仿宋_GB2312" w:cs="Times New Roman"/>
          <w:bCs/>
          <w:sz w:val="32"/>
          <w:szCs w:val="32"/>
        </w:rPr>
        <w:t>中小学虚拟实验教学应用课例</w:t>
      </w:r>
      <w:r>
        <w:rPr>
          <w:rFonts w:hint="default" w:ascii="Times New Roman" w:hAnsi="Times New Roman" w:eastAsia="仿宋_GB2312" w:cs="Times New Roman"/>
          <w:bCs/>
          <w:sz w:val="32"/>
          <w:szCs w:val="32"/>
        </w:rPr>
        <w:t>。</w:t>
      </w:r>
    </w:p>
    <w:p w14:paraId="0057D4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一、中小学人工智能教育教学课例</w:t>
      </w:r>
    </w:p>
    <w:p w14:paraId="6C2DFC45">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kern w:val="2"/>
          <w:sz w:val="32"/>
          <w:szCs w:val="32"/>
          <w:highlight w:val="none"/>
          <w:lang w:val="en-US" w:eastAsia="zh-CN" w:bidi="ar-SA"/>
        </w:rPr>
        <w:t>（一）</w:t>
      </w:r>
      <w:r>
        <w:rPr>
          <w:rFonts w:hint="eastAsia" w:ascii="仿宋_GB2312" w:hAnsi="仿宋_GB2312" w:eastAsia="仿宋_GB2312" w:cs="仿宋_GB2312"/>
          <w:b w:val="0"/>
          <w:bCs w:val="0"/>
          <w:sz w:val="32"/>
          <w:szCs w:val="32"/>
          <w:lang w:val="en-US" w:eastAsia="zh-CN"/>
        </w:rPr>
        <w:t>参与条件</w:t>
      </w:r>
    </w:p>
    <w:p w14:paraId="01AB2436">
      <w:pPr>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所有“央馆人工智能课程”（入门、基础、进阶、高阶/小学版、初中版、高中版）应用学校，使用“央馆人工智能课程”授课的中小学教师，均可自愿参加。</w:t>
      </w:r>
    </w:p>
    <w:p w14:paraId="351CDB10">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bCs/>
          <w:sz w:val="32"/>
          <w:szCs w:val="32"/>
        </w:rPr>
      </w:pPr>
      <w:bookmarkStart w:id="0" w:name="_Toc13966"/>
      <w:r>
        <w:rPr>
          <w:rFonts w:hint="eastAsia" w:ascii="仿宋_GB2312" w:hAnsi="仿宋_GB2312" w:eastAsia="仿宋_GB2312" w:cs="仿宋_GB2312"/>
          <w:b w:val="0"/>
          <w:bCs w:val="0"/>
          <w:kern w:val="2"/>
          <w:sz w:val="32"/>
          <w:szCs w:val="32"/>
          <w:highlight w:val="none"/>
          <w:lang w:val="en-US" w:eastAsia="zh-CN" w:bidi="ar-SA"/>
        </w:rPr>
        <w:t>（二）</w:t>
      </w:r>
      <w:r>
        <w:rPr>
          <w:rFonts w:hint="eastAsia" w:ascii="仿宋_GB2312" w:hAnsi="仿宋_GB2312" w:eastAsia="仿宋_GB2312" w:cs="仿宋_GB2312"/>
          <w:b w:val="0"/>
          <w:bCs w:val="0"/>
          <w:sz w:val="32"/>
          <w:szCs w:val="32"/>
        </w:rPr>
        <w:t>课例制作要求</w:t>
      </w:r>
      <w:bookmarkEnd w:id="0"/>
    </w:p>
    <w:p w14:paraId="243126E8">
      <w:pPr>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授课教师按要求制作教学课例，每堂课例包含教学设计、课堂实录、教学课件和相关资源（可选），具体要求如下：</w:t>
      </w:r>
    </w:p>
    <w:p w14:paraId="1886A21F">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val="0"/>
          <w:bCs w:val="0"/>
          <w:sz w:val="32"/>
          <w:szCs w:val="32"/>
        </w:rPr>
      </w:pPr>
      <w:bookmarkStart w:id="1" w:name="_Toc8472"/>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rPr>
        <w:t>教学设计</w:t>
      </w:r>
      <w:bookmarkEnd w:id="1"/>
    </w:p>
    <w:p w14:paraId="0A5F1E99">
      <w:pPr>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以word文本形式提交。教学设计的撰写包括教学基本信息、学习目标、学习重点</w:t>
      </w:r>
      <w:r>
        <w:rPr>
          <w:rFonts w:hint="eastAsia" w:ascii="仿宋_GB2312" w:hAnsi="仿宋_GB2312" w:eastAsia="仿宋_GB2312" w:cs="仿宋_GB2312"/>
          <w:sz w:val="32"/>
          <w:szCs w:val="32"/>
        </w:rPr>
        <w:t>与难点、教学活动设计与实施、学习评价、教学反思六个部分。各部分具体要求如下：</w:t>
      </w:r>
    </w:p>
    <w:p w14:paraId="1B193AB3">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sz w:val="32"/>
          <w:szCs w:val="32"/>
        </w:rPr>
      </w:pPr>
      <w:bookmarkStart w:id="2" w:name="_Toc98404277"/>
      <w:bookmarkStart w:id="3" w:name="_Toc13270"/>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rPr>
        <w:t>教学基本信息</w:t>
      </w:r>
      <w:bookmarkEnd w:id="2"/>
      <w:bookmarkEnd w:id="3"/>
    </w:p>
    <w:p w14:paraId="23275B32">
      <w:pPr>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教学基本信息从教材、课题与课型三方面描述。教材仅限于教育部教育技术与资源发展中心（中央电化教育馆）编写的人工智能教育系列用书《人</w:t>
      </w:r>
      <w:r>
        <w:rPr>
          <w:rFonts w:hint="eastAsia" w:ascii="仿宋_GB2312" w:hAnsi="仿宋_GB2312" w:eastAsia="仿宋_GB2312" w:cs="仿宋_GB2312"/>
          <w:sz w:val="32"/>
          <w:szCs w:val="32"/>
        </w:rPr>
        <w:t>工智能 入门》《人工智能 基础》《人工智能 进阶》《人工智能 高阶》或中央电化教育馆编写的中小学人工智能教育系列用书《人工智能 小学版 上册》《人工智能 小学版 下册》《人工智能 初中版》《人工智能 高中版》。课题指本课的课名，以“节标题+课时序号”命名，如“无处不在的人工智能（第1课时）”。课型以教学内容和教学方法作为课的分类基点，划分为：新知学习课、原理探究课、综合应用课、其他。</w:t>
      </w:r>
    </w:p>
    <w:p w14:paraId="5729CD81">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color w:val="000000"/>
          <w:sz w:val="32"/>
          <w:szCs w:val="32"/>
          <w:lang w:val="en-US" w:eastAsia="zh-CN"/>
        </w:rPr>
        <w:t>（2）学习目标</w:t>
      </w:r>
    </w:p>
    <w:p w14:paraId="1CA684B6">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从知识与技能、过程与方法、情感态度与价值观等方面综合描述，体现学生通过学习形成的正确价值观念、必备品格和关键能力。文字表述应以学生为主语，可落实、可检测，层次上不用再分小标题，逐条表述即可。</w:t>
      </w:r>
    </w:p>
    <w:p w14:paraId="34431611">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rPr>
      </w:pPr>
      <w:bookmarkStart w:id="4" w:name="_Toc12851"/>
      <w:bookmarkStart w:id="5" w:name="_Toc98404279"/>
      <w:r>
        <w:rPr>
          <w:rFonts w:hint="eastAsia" w:ascii="仿宋_GB2312" w:hAnsi="仿宋_GB2312" w:eastAsia="仿宋_GB2312" w:cs="仿宋_GB2312"/>
          <w:b w:val="0"/>
          <w:bCs w:val="0"/>
          <w:color w:val="000000"/>
          <w:sz w:val="32"/>
          <w:szCs w:val="32"/>
          <w:lang w:val="en-US" w:eastAsia="zh-CN"/>
        </w:rPr>
        <w:t>（3）</w:t>
      </w:r>
      <w:r>
        <w:rPr>
          <w:rFonts w:hint="eastAsia" w:ascii="仿宋_GB2312" w:hAnsi="仿宋_GB2312" w:eastAsia="仿宋_GB2312" w:cs="仿宋_GB2312"/>
          <w:b w:val="0"/>
          <w:bCs w:val="0"/>
          <w:color w:val="000000"/>
          <w:sz w:val="32"/>
          <w:szCs w:val="32"/>
        </w:rPr>
        <w:t>学习重点与难点</w:t>
      </w:r>
      <w:bookmarkEnd w:id="4"/>
      <w:bookmarkEnd w:id="5"/>
    </w:p>
    <w:p w14:paraId="09DEA8A1">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描述本堂课的重点与难点，并作简要分析。</w:t>
      </w:r>
    </w:p>
    <w:p w14:paraId="3EA57035">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bookmarkStart w:id="6" w:name="_Toc98404280"/>
      <w:bookmarkStart w:id="7" w:name="_Toc11792"/>
      <w:r>
        <w:rPr>
          <w:rFonts w:hint="eastAsia" w:ascii="仿宋_GB2312" w:hAnsi="仿宋_GB2312" w:eastAsia="仿宋_GB2312" w:cs="仿宋_GB2312"/>
          <w:b w:val="0"/>
          <w:bCs w:val="0"/>
          <w:color w:val="000000"/>
          <w:sz w:val="32"/>
          <w:szCs w:val="32"/>
          <w:lang w:val="en-US" w:eastAsia="zh-CN"/>
        </w:rPr>
        <w:t>（4）</w:t>
      </w:r>
      <w:r>
        <w:rPr>
          <w:rFonts w:hint="eastAsia" w:ascii="仿宋_GB2312" w:hAnsi="仿宋_GB2312" w:eastAsia="仿宋_GB2312" w:cs="仿宋_GB2312"/>
          <w:b w:val="0"/>
          <w:bCs w:val="0"/>
          <w:color w:val="000000"/>
          <w:sz w:val="32"/>
          <w:szCs w:val="32"/>
          <w:lang w:eastAsia="zh-CN"/>
        </w:rPr>
        <w:t>教学活动设计与实施</w:t>
      </w:r>
      <w:bookmarkEnd w:id="6"/>
      <w:bookmarkEnd w:id="7"/>
    </w:p>
    <w:p w14:paraId="0D563605">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描述课堂教学活动的环节、步骤和详细过程。首先描述本节课的教学理念和方法，然后提供教学活动设计流程图，最后再依据教学活动设计流程图具体描述每个环节的活动步骤以及设计意图。本学科应渗透“体验式学习为主”理念，使用自主学习、合作学习、探究学习等教学方式，避免过多讲授。教学活动设计流程图要体现教学过程的基本环节及其顺序，可使用框图和箭头的形式进行表述。</w:t>
      </w:r>
    </w:p>
    <w:p w14:paraId="06A75C29">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bookmarkStart w:id="8" w:name="_Toc98404281"/>
      <w:bookmarkStart w:id="9" w:name="_Toc16248"/>
      <w:r>
        <w:rPr>
          <w:rFonts w:hint="eastAsia" w:ascii="仿宋_GB2312" w:hAnsi="仿宋_GB2312" w:eastAsia="仿宋_GB2312" w:cs="仿宋_GB2312"/>
          <w:b w:val="0"/>
          <w:bCs w:val="0"/>
          <w:color w:val="000000"/>
          <w:sz w:val="32"/>
          <w:szCs w:val="32"/>
          <w:lang w:val="en-US" w:eastAsia="zh-CN"/>
        </w:rPr>
        <w:t>（5）</w:t>
      </w:r>
      <w:r>
        <w:rPr>
          <w:rFonts w:hint="eastAsia" w:ascii="仿宋_GB2312" w:hAnsi="仿宋_GB2312" w:eastAsia="仿宋_GB2312" w:cs="仿宋_GB2312"/>
          <w:b w:val="0"/>
          <w:bCs w:val="0"/>
          <w:color w:val="000000"/>
          <w:sz w:val="32"/>
          <w:szCs w:val="32"/>
          <w:lang w:eastAsia="zh-CN"/>
        </w:rPr>
        <w:t>学习评价</w:t>
      </w:r>
      <w:bookmarkEnd w:id="8"/>
      <w:bookmarkEnd w:id="9"/>
    </w:p>
    <w:p w14:paraId="0EF34184">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描述课堂学习评价的方法与评价工具。学习评价应紧密围绕学习目标。</w:t>
      </w:r>
    </w:p>
    <w:p w14:paraId="590B1ABD">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bookmarkStart w:id="10" w:name="_Toc98404282"/>
      <w:bookmarkStart w:id="11" w:name="_Toc1015"/>
      <w:r>
        <w:rPr>
          <w:rFonts w:hint="eastAsia" w:ascii="仿宋_GB2312" w:hAnsi="仿宋_GB2312" w:eastAsia="仿宋_GB2312" w:cs="仿宋_GB2312"/>
          <w:b w:val="0"/>
          <w:bCs w:val="0"/>
          <w:color w:val="000000"/>
          <w:sz w:val="32"/>
          <w:szCs w:val="32"/>
          <w:lang w:val="en-US" w:eastAsia="zh-CN"/>
        </w:rPr>
        <w:t>（6）</w:t>
      </w:r>
      <w:r>
        <w:rPr>
          <w:rFonts w:hint="eastAsia" w:ascii="仿宋_GB2312" w:hAnsi="仿宋_GB2312" w:eastAsia="仿宋_GB2312" w:cs="仿宋_GB2312"/>
          <w:b w:val="0"/>
          <w:bCs w:val="0"/>
          <w:color w:val="000000"/>
          <w:sz w:val="32"/>
          <w:szCs w:val="32"/>
          <w:lang w:eastAsia="zh-CN"/>
        </w:rPr>
        <w:t>教学反思</w:t>
      </w:r>
      <w:bookmarkEnd w:id="10"/>
      <w:bookmarkEnd w:id="11"/>
    </w:p>
    <w:p w14:paraId="36AD9DD1">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总结本堂课的教学效果和教学经验，分析亮点和创新之处。可通过专家评语、学生反馈、教师个人反思等体现。</w:t>
      </w:r>
    </w:p>
    <w:p w14:paraId="6CC597D6">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rPr>
      </w:pPr>
      <w:bookmarkStart w:id="12" w:name="_Toc30024"/>
      <w:r>
        <w:rPr>
          <w:rFonts w:hint="eastAsia" w:ascii="仿宋_GB2312" w:hAnsi="仿宋_GB2312" w:eastAsia="仿宋_GB2312" w:cs="仿宋_GB2312"/>
          <w:b w:val="0"/>
          <w:bCs w:val="0"/>
          <w:color w:val="000000"/>
          <w:sz w:val="32"/>
          <w:szCs w:val="32"/>
          <w:lang w:val="en-US" w:eastAsia="zh-CN"/>
        </w:rPr>
        <w:t>2.</w:t>
      </w:r>
      <w:r>
        <w:rPr>
          <w:rFonts w:hint="eastAsia" w:ascii="仿宋_GB2312" w:hAnsi="仿宋_GB2312" w:eastAsia="仿宋_GB2312" w:cs="仿宋_GB2312"/>
          <w:b w:val="0"/>
          <w:bCs w:val="0"/>
          <w:color w:val="000000"/>
          <w:sz w:val="32"/>
          <w:szCs w:val="32"/>
        </w:rPr>
        <w:t>课堂实录</w:t>
      </w:r>
      <w:bookmarkEnd w:id="12"/>
    </w:p>
    <w:p w14:paraId="730C7CBF">
      <w:pPr>
        <w:pStyle w:val="17"/>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val="0"/>
          <w:bCs w:val="0"/>
          <w:sz w:val="32"/>
          <w:szCs w:val="32"/>
        </w:rPr>
        <w:t>以MP</w:t>
      </w:r>
      <w:r>
        <w:rPr>
          <w:rStyle w:val="14"/>
          <w:rFonts w:hint="eastAsia" w:ascii="仿宋_GB2312" w:hAnsi="仿宋_GB2312" w:eastAsia="仿宋_GB2312" w:cs="仿宋_GB2312"/>
          <w:b w:val="0"/>
          <w:bCs w:val="0"/>
          <w:sz w:val="32"/>
          <w:szCs w:val="32"/>
        </w:rPr>
        <w:t>4</w:t>
      </w:r>
      <w:r>
        <w:rPr>
          <w:rFonts w:hint="eastAsia" w:ascii="仿宋_GB2312" w:hAnsi="仿宋_GB2312" w:eastAsia="仿宋_GB2312" w:cs="仿宋_GB2312"/>
          <w:b w:val="0"/>
          <w:bCs w:val="0"/>
          <w:sz w:val="32"/>
          <w:szCs w:val="32"/>
        </w:rPr>
        <w:t>视频文件形</w:t>
      </w:r>
      <w:r>
        <w:rPr>
          <w:rFonts w:hint="eastAsia" w:ascii="仿宋_GB2312" w:hAnsi="仿宋_GB2312" w:eastAsia="仿宋_GB2312" w:cs="仿宋_GB2312"/>
          <w:sz w:val="32"/>
          <w:szCs w:val="32"/>
        </w:rPr>
        <w:t>式提交。</w:t>
      </w:r>
      <w:r>
        <w:rPr>
          <w:rFonts w:hint="eastAsia" w:ascii="仿宋_GB2312" w:hAnsi="仿宋_GB2312" w:eastAsia="仿宋_GB2312" w:cs="仿宋_GB2312"/>
          <w:kern w:val="0"/>
          <w:sz w:val="32"/>
          <w:szCs w:val="32"/>
        </w:rPr>
        <w:t>课堂实录要展现案例中教师完整的教学过程，同时要在适当的时候插入学生的课堂活动。建议教师做好课堂实录后对其进行适当的后期剪辑处理，在适当环节插入使用到的“央馆人工智能课程”（含教材、配套资源、支持服务系统），展示所用的软硬件或实验室环境，并保证画面清晰可见。具体要求如下：</w:t>
      </w:r>
    </w:p>
    <w:p w14:paraId="74DF2F4F">
      <w:pPr>
        <w:pStyle w:val="17"/>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kern w:val="0"/>
          <w:sz w:val="32"/>
          <w:szCs w:val="32"/>
        </w:rPr>
        <w:t>录制课堂实录要有片头，片头时长不超过5秒。内容包括：教材、课题、年级、主讲教师工作单位和姓名等。每堂课仅允许有一位主讲教师。</w:t>
      </w:r>
    </w:p>
    <w:p w14:paraId="16D26877">
      <w:pPr>
        <w:pStyle w:val="17"/>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color w:val="000000"/>
          <w:sz w:val="32"/>
          <w:szCs w:val="32"/>
          <w:lang w:val="en-US" w:eastAsia="zh-CN"/>
        </w:rPr>
        <w:t>（2）</w:t>
      </w:r>
      <w:r>
        <w:rPr>
          <w:rFonts w:hint="eastAsia" w:ascii="仿宋_GB2312" w:hAnsi="仿宋_GB2312" w:eastAsia="仿宋_GB2312" w:cs="仿宋_GB2312"/>
          <w:b w:val="0"/>
          <w:bCs w:val="0"/>
          <w:kern w:val="0"/>
          <w:sz w:val="32"/>
          <w:szCs w:val="32"/>
        </w:rPr>
        <w:t>课堂实录原片分辨率至少为标清，鼓励采用高清格式，视频数据小于1G，时长不少于30分钟。</w:t>
      </w:r>
    </w:p>
    <w:p w14:paraId="09748331">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bookmarkStart w:id="13" w:name="_Toc10774"/>
      <w:r>
        <w:rPr>
          <w:rFonts w:hint="eastAsia" w:ascii="仿宋_GB2312" w:hAnsi="仿宋_GB2312" w:eastAsia="仿宋_GB2312" w:cs="仿宋_GB2312"/>
          <w:b w:val="0"/>
          <w:bCs w:val="0"/>
          <w:color w:val="000000"/>
          <w:sz w:val="32"/>
          <w:szCs w:val="32"/>
          <w:lang w:val="en-US" w:eastAsia="zh-CN"/>
        </w:rPr>
        <w:t>3.教学课件</w:t>
      </w:r>
      <w:bookmarkEnd w:id="13"/>
    </w:p>
    <w:p w14:paraId="45F0450E">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sz w:val="32"/>
          <w:szCs w:val="32"/>
        </w:rPr>
        <w:t>以演示文稿形式（</w:t>
      </w:r>
      <w:r>
        <w:rPr>
          <w:rFonts w:hint="eastAsia" w:ascii="仿宋_GB2312" w:hAnsi="仿宋_GB2312" w:eastAsia="仿宋_GB2312" w:cs="仿宋_GB2312"/>
          <w:b w:val="0"/>
          <w:bCs w:val="0"/>
          <w:kern w:val="0"/>
          <w:sz w:val="32"/>
          <w:szCs w:val="32"/>
        </w:rPr>
        <w:t>.ppt或.pptx格式</w:t>
      </w:r>
      <w:r>
        <w:rPr>
          <w:rFonts w:hint="eastAsia" w:ascii="仿宋_GB2312" w:hAnsi="仿宋_GB2312" w:eastAsia="仿宋_GB2312" w:cs="仿宋_GB2312"/>
          <w:b w:val="0"/>
          <w:bCs w:val="0"/>
          <w:sz w:val="32"/>
          <w:szCs w:val="32"/>
        </w:rPr>
        <w:t>）提交，</w:t>
      </w:r>
      <w:r>
        <w:rPr>
          <w:rFonts w:hint="eastAsia" w:ascii="仿宋_GB2312" w:hAnsi="仿宋_GB2312" w:eastAsia="仿宋_GB2312" w:cs="仿宋_GB2312"/>
          <w:b w:val="0"/>
          <w:bCs w:val="0"/>
          <w:kern w:val="0"/>
          <w:sz w:val="32"/>
          <w:szCs w:val="32"/>
        </w:rPr>
        <w:t>数据量小于100M。</w:t>
      </w:r>
    </w:p>
    <w:p w14:paraId="1399C340">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4.相关资源（可选）</w:t>
      </w:r>
    </w:p>
    <w:p w14:paraId="074F5A8E">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以压缩文件形式（.zip或.rar格式）提交。压缩文件内含支持课堂教学活动和解决教学问题所用的学习任务单、音视频素材等其他资源（或资源链接）。</w:t>
      </w:r>
    </w:p>
    <w:p w14:paraId="3F246DA4">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sz w:val="32"/>
          <w:szCs w:val="32"/>
          <w:lang w:val="en-US" w:eastAsia="zh-CN"/>
        </w:rPr>
      </w:pPr>
      <w:bookmarkStart w:id="14" w:name="_Toc9918"/>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三</w:t>
      </w:r>
      <w:r>
        <w:rPr>
          <w:rFonts w:hint="eastAsia" w:ascii="仿宋_GB2312" w:hAnsi="仿宋_GB2312" w:eastAsia="仿宋_GB2312" w:cs="仿宋_GB2312"/>
          <w:b w:val="0"/>
          <w:bCs w:val="0"/>
          <w:sz w:val="32"/>
          <w:szCs w:val="32"/>
          <w:lang w:eastAsia="zh-CN"/>
        </w:rPr>
        <w:t>）</w:t>
      </w:r>
      <w:bookmarkEnd w:id="14"/>
      <w:r>
        <w:rPr>
          <w:rFonts w:hint="eastAsia" w:ascii="仿宋_GB2312" w:hAnsi="仿宋_GB2312" w:eastAsia="仿宋_GB2312" w:cs="仿宋_GB2312"/>
          <w:b w:val="0"/>
          <w:bCs w:val="0"/>
          <w:sz w:val="32"/>
          <w:szCs w:val="32"/>
          <w:lang w:val="en-US" w:eastAsia="zh-CN"/>
        </w:rPr>
        <w:t>工作流程</w:t>
      </w:r>
    </w:p>
    <w:p w14:paraId="6E1B4E08">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1.上传课件</w:t>
      </w:r>
    </w:p>
    <w:p w14:paraId="6C5F2BDC">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授课教师于2025年4月10日0:00—10月15日24:00，将课例上传至中央电化教育馆中小学人工智能教育服务平台（ai.eduyun.cn）全国师生数字素养提升实践活动（教师活动）中小学人工智能教育教学课例征集项目平台（以下简称“课例征集平台”）。课例上传流程详见中央电化教育馆中小学人工智能教育服务平台“新闻中心”栏目《“2025年全国师生数字素养提升实践活动（第二十九届教师活动）中小学人工智能教育教学课例征集项目”操作手册》。</w:t>
      </w:r>
    </w:p>
    <w:p w14:paraId="6F261F16">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bookmarkStart w:id="15" w:name="_Toc21613"/>
      <w:r>
        <w:rPr>
          <w:rFonts w:hint="eastAsia" w:ascii="仿宋_GB2312" w:hAnsi="仿宋_GB2312" w:eastAsia="仿宋_GB2312" w:cs="仿宋_GB2312"/>
          <w:b w:val="0"/>
          <w:bCs w:val="0"/>
          <w:color w:val="000000"/>
          <w:sz w:val="32"/>
          <w:szCs w:val="32"/>
          <w:lang w:val="en-US" w:eastAsia="zh-CN"/>
        </w:rPr>
        <w:t>2.课例推荐与交流展示</w:t>
      </w:r>
      <w:bookmarkEnd w:id="15"/>
    </w:p>
    <w:p w14:paraId="10CC6A92">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教育部教育技术与资源发展中心（中央电化教育馆）</w:t>
      </w:r>
      <w:r>
        <w:rPr>
          <w:rFonts w:hint="eastAsia" w:ascii="仿宋_GB2312" w:hAnsi="仿宋_GB2312" w:eastAsia="仿宋_GB2312" w:cs="仿宋_GB2312"/>
          <w:b w:val="0"/>
          <w:bCs w:val="0"/>
          <w:sz w:val="32"/>
          <w:szCs w:val="32"/>
        </w:rPr>
        <w:t>将于2025年底前组织专家推荐确定课例征集项目入围课例（分为创新课例、典型课例、特色课例），由2025年全国师生数字素养提升实践活动（第二十九届教师活动）组委会在教育部教育技术与资源发展中心（中央电化教育馆）网站（www.ncet.edu.cn）统一公布入围课例名单。入围课例电子证书可在课例征集平台“我的证书”模块查询与下载。课例征集项目入围课例将在“中央电化教育馆中小学人工智能教育服务平台”上公开展示。</w:t>
      </w:r>
      <w:bookmarkStart w:id="16" w:name="_Toc31560"/>
    </w:p>
    <w:p w14:paraId="1A8CBC2C">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（四）咨询与服务</w:t>
      </w:r>
      <w:bookmarkEnd w:id="16"/>
    </w:p>
    <w:p w14:paraId="10582B6C">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如果您在活动参与过程中有问题需要咨询，请您通过以下方式联系</w:t>
      </w:r>
      <w:r>
        <w:rPr>
          <w:rFonts w:hint="eastAsia" w:ascii="仿宋_GB2312" w:hAnsi="仿宋_GB2312" w:eastAsia="仿宋_GB2312" w:cs="仿宋_GB2312"/>
          <w:b w:val="0"/>
          <w:bCs w:val="0"/>
          <w:sz w:val="32"/>
          <w:szCs w:val="32"/>
          <w:lang w:val="en-US" w:eastAsia="zh-CN"/>
        </w:rPr>
        <w:t>教育部教育技术与资源发展中心（中央电化教育馆）</w:t>
      </w:r>
      <w:r>
        <w:rPr>
          <w:rFonts w:hint="eastAsia" w:ascii="仿宋_GB2312" w:hAnsi="仿宋_GB2312" w:eastAsia="仿宋_GB2312" w:cs="仿宋_GB2312"/>
          <w:b w:val="0"/>
          <w:bCs w:val="0"/>
          <w:sz w:val="32"/>
          <w:szCs w:val="32"/>
        </w:rPr>
        <w:t>：</w:t>
      </w:r>
    </w:p>
    <w:p w14:paraId="463A8294">
      <w:pPr>
        <w:pageBreakBefore w:val="0"/>
        <w:widowControl/>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咨询电话：4001910910   咨询QQ：4001910910</w:t>
      </w:r>
    </w:p>
    <w:p w14:paraId="3095992D">
      <w:pPr>
        <w:pageBreakBefore w:val="0"/>
        <w:widowControl/>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（工作时间：周一至周五8:30—17:00）</w:t>
      </w:r>
    </w:p>
    <w:p w14:paraId="009ADDBE">
      <w:pPr>
        <w:pageBreakBefore w:val="0"/>
        <w:widowControl/>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咨询邮箱：kefu@moe.edu.cn</w:t>
      </w:r>
    </w:p>
    <w:p w14:paraId="3E26B730">
      <w:pPr>
        <w:pageBreakBefore w:val="0"/>
        <w:widowControl/>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6"/>
        </w:rPr>
      </w:pPr>
      <w:r>
        <w:rPr>
          <w:rFonts w:hint="eastAsia" w:ascii="仿宋_GB2312" w:hAnsi="仿宋_GB2312" w:eastAsia="仿宋_GB2312" w:cs="仿宋_GB2312"/>
          <w:b w:val="0"/>
          <w:bCs w:val="0"/>
          <w:sz w:val="32"/>
          <w:szCs w:val="32"/>
        </w:rPr>
        <w:t>官方公众号：关注微信公众号一师一课（CN1s1k），获取更多活动资讯。</w:t>
      </w:r>
    </w:p>
    <w:p w14:paraId="6E01D25C">
      <w:pPr>
        <w:widowControl/>
        <w:jc w:val="center"/>
        <w:rPr>
          <w:rFonts w:ascii="Times New Roman" w:hAnsi="仿宋_GB2312" w:eastAsia="仿宋_GB2312"/>
          <w:szCs w:val="28"/>
        </w:rPr>
      </w:pPr>
      <w:r>
        <w:rPr>
          <w:rFonts w:ascii="Times New Roman" w:hAnsi="Times New Roman" w:eastAsia="仿宋_GB2312"/>
          <w:sz w:val="24"/>
        </w:rPr>
        <w:drawing>
          <wp:inline distT="0" distB="0" distL="0" distR="0">
            <wp:extent cx="2114550" cy="2114550"/>
            <wp:effectExtent l="25400" t="25400" r="31750" b="3175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noChangeArrowheads="1"/>
                    </pic:cNvPicPr>
                  </pic:nvPicPr>
                  <pic:blipFill>
                    <a:blip r:embed="rId5" cstate="print"/>
                    <a:srcRect/>
                    <a:stretch>
                      <a:fillRect/>
                    </a:stretch>
                  </pic:blipFill>
                  <pic:spPr>
                    <a:xfrm>
                      <a:off x="0" y="0"/>
                      <a:ext cx="2114550" cy="2114550"/>
                    </a:xfrm>
                    <a:prstGeom prst="rect">
                      <a:avLst/>
                    </a:prstGeom>
                    <a:noFill/>
                    <a:ln w="25400">
                      <a:solidFill>
                        <a:schemeClr val="accent1"/>
                      </a:solidFill>
                      <a:miter lim="800000"/>
                      <a:headEnd/>
                      <a:tailEnd/>
                    </a:ln>
                  </pic:spPr>
                </pic:pic>
              </a:graphicData>
            </a:graphic>
          </wp:inline>
        </w:drawing>
      </w:r>
    </w:p>
    <w:p w14:paraId="4D3A787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highlight w:val="none"/>
          <w:lang w:val="en-US" w:eastAsia="zh-CN"/>
        </w:rPr>
      </w:pPr>
    </w:p>
    <w:p w14:paraId="1583460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kern w:val="2"/>
          <w:sz w:val="32"/>
          <w:szCs w:val="32"/>
          <w:lang w:val="en-US" w:eastAsia="zh-CN" w:bidi="ar-SA"/>
        </w:rPr>
        <w:t>二、中小学人工智能教育教学课例指南</w:t>
      </w:r>
    </w:p>
    <w:p w14:paraId="71A13271">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（一）参与条件</w:t>
      </w:r>
    </w:p>
    <w:p w14:paraId="03EEE969">
      <w:pPr>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所有“央馆虚拟实验”应用学校，使用“央馆虚拟实验”授课的中小学教师，均可自愿参加。</w:t>
      </w:r>
    </w:p>
    <w:p w14:paraId="4E2E312D">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（二）</w:t>
      </w:r>
      <w:r>
        <w:rPr>
          <w:rFonts w:hint="eastAsia" w:ascii="仿宋_GB2312" w:hAnsi="仿宋_GB2312" w:eastAsia="仿宋_GB2312" w:cs="仿宋_GB2312"/>
          <w:b w:val="0"/>
          <w:bCs w:val="0"/>
          <w:sz w:val="32"/>
          <w:szCs w:val="32"/>
        </w:rPr>
        <w:t>课例制作要求</w:t>
      </w:r>
    </w:p>
    <w:p w14:paraId="7395B869">
      <w:pPr>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授课教师按要求制作教学课例，每堂课例包含教学设计、课堂实录、教学课件和相关资源（可选），具体要求如下：</w:t>
      </w:r>
    </w:p>
    <w:p w14:paraId="5230E572">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rPr>
        <w:t>教学设计</w:t>
      </w:r>
    </w:p>
    <w:p w14:paraId="445CC356">
      <w:pPr>
        <w:pageBreakBefore w:val="0"/>
        <w:widowControl/>
        <w:kinsoku/>
        <w:wordWrap/>
        <w:overflowPunct/>
        <w:topLinePunct w:val="0"/>
        <w:autoSpaceDE/>
        <w:autoSpaceDN/>
        <w:bidi w:val="0"/>
        <w:adjustRightInd w:val="0"/>
        <w:snapToGrid w:val="0"/>
        <w:spacing w:line="560" w:lineRule="exact"/>
        <w:ind w:left="105" w:firstLine="640" w:firstLineChars="200"/>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以word文本形式提交。教学设计的撰写包括教学目标、教学重点与难点、实验资源、教学活动设计与实施、教学评价以及教学反思六个部分。各部分具体要求如下：</w:t>
      </w:r>
    </w:p>
    <w:p w14:paraId="7AC6BA59">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rPr>
        <w:t>教学</w:t>
      </w:r>
      <w:r>
        <w:rPr>
          <w:rFonts w:hint="eastAsia" w:ascii="仿宋_GB2312" w:hAnsi="仿宋_GB2312" w:eastAsia="仿宋_GB2312" w:cs="仿宋_GB2312"/>
          <w:b w:val="0"/>
          <w:bCs w:val="0"/>
          <w:color w:val="000000"/>
          <w:sz w:val="32"/>
          <w:szCs w:val="32"/>
          <w:lang w:val="en-US" w:eastAsia="zh-CN"/>
        </w:rPr>
        <w:t>目标</w:t>
      </w:r>
    </w:p>
    <w:p w14:paraId="7B7793B0">
      <w:pPr>
        <w:pageBreakBefore w:val="0"/>
        <w:kinsoku/>
        <w:wordWrap/>
        <w:overflowPunct/>
        <w:topLinePunct w:val="0"/>
        <w:autoSpaceDE/>
        <w:autoSpaceDN/>
        <w:bidi w:val="0"/>
        <w:snapToGrid w:val="0"/>
        <w:spacing w:line="560" w:lineRule="exact"/>
        <w:ind w:left="105"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高中学段学科应按照《普通高中课程方案和语文等学科课程标准》（2017年版2020年修订）要求，围绕学科核心素养进行设计和描述。</w:t>
      </w:r>
    </w:p>
    <w:p w14:paraId="76399BFD">
      <w:pPr>
        <w:pageBreakBefore w:val="0"/>
        <w:kinsoku/>
        <w:wordWrap/>
        <w:overflowPunct/>
        <w:topLinePunct w:val="0"/>
        <w:autoSpaceDE/>
        <w:autoSpaceDN/>
        <w:bidi w:val="0"/>
        <w:snapToGrid w:val="0"/>
        <w:spacing w:line="560" w:lineRule="exact"/>
        <w:ind w:left="105"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初中学段学科可按照《义务教育学科课程标准》（2022年版）要求，围绕学科核心素养进行设计和描述。</w:t>
      </w:r>
    </w:p>
    <w:p w14:paraId="2826B99A">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小学科学学科应按照《义务教育科学课程标准》（2022年版）要求，从科学观念、科学思维、探究实践、态度责任四个方面进行设计和描述。</w:t>
      </w:r>
    </w:p>
    <w:p w14:paraId="0ADAF966">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color w:val="000000"/>
          <w:sz w:val="32"/>
          <w:szCs w:val="32"/>
        </w:rPr>
        <w:t>（</w:t>
      </w:r>
      <w:r>
        <w:rPr>
          <w:rFonts w:hint="eastAsia" w:ascii="仿宋_GB2312" w:hAnsi="仿宋_GB2312" w:eastAsia="仿宋_GB2312" w:cs="仿宋_GB2312"/>
          <w:b w:val="0"/>
          <w:bCs w:val="0"/>
          <w:color w:val="000000"/>
          <w:sz w:val="32"/>
          <w:szCs w:val="32"/>
          <w:lang w:val="en-US" w:eastAsia="zh-CN"/>
        </w:rPr>
        <w:t>2</w:t>
      </w:r>
      <w:r>
        <w:rPr>
          <w:rFonts w:hint="eastAsia" w:ascii="仿宋_GB2312" w:hAnsi="仿宋_GB2312" w:eastAsia="仿宋_GB2312" w:cs="仿宋_GB2312"/>
          <w:b w:val="0"/>
          <w:bCs w:val="0"/>
          <w:color w:val="000000"/>
          <w:sz w:val="32"/>
          <w:szCs w:val="32"/>
        </w:rPr>
        <w:t>）</w:t>
      </w:r>
      <w:r>
        <w:rPr>
          <w:rFonts w:hint="eastAsia" w:ascii="仿宋_GB2312" w:hAnsi="仿宋_GB2312" w:eastAsia="仿宋_GB2312" w:cs="仿宋_GB2312"/>
          <w:b w:val="0"/>
          <w:bCs w:val="0"/>
          <w:color w:val="000000"/>
          <w:sz w:val="32"/>
          <w:szCs w:val="32"/>
          <w:lang w:val="en-US" w:eastAsia="zh-CN"/>
        </w:rPr>
        <w:t>教学重点与难点</w:t>
      </w:r>
    </w:p>
    <w:p w14:paraId="7573E03E">
      <w:pPr>
        <w:pageBreakBefore w:val="0"/>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描述本堂课的重点与难点，并作简要分析。</w:t>
      </w:r>
    </w:p>
    <w:p w14:paraId="402716CC">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3</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lang w:val="en-US" w:eastAsia="zh-CN"/>
        </w:rPr>
        <w:t>实验资源</w:t>
      </w:r>
    </w:p>
    <w:p w14:paraId="2C9F942D">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列举本堂课使用的实验资源，包括实物资源和虚拟资源。资源应附图，并辅以简要文字标识，其中虚拟资源的名称要与央馆虚拟实验教学服务系统（vlab.eduyun.cn）中的表述一致。</w:t>
      </w:r>
    </w:p>
    <w:p w14:paraId="65C14E29">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000000"/>
          <w:sz w:val="32"/>
          <w:szCs w:val="32"/>
          <w:lang w:eastAsia="zh-CN"/>
        </w:rPr>
        <w:t>（4）教学活动设计与实施</w:t>
      </w:r>
    </w:p>
    <w:p w14:paraId="662A1F54">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描述课堂教学活动的环节、步骤和详细过程。首先提供教学活动设计流程图，之后再依据教学活动设计流程图具体描述每个环节的活动步骤以及设计意图。教学活动设计流程图要体现教学过程的基本环节及其顺序，可使用框图和箭头的形式进行表述。</w:t>
      </w:r>
    </w:p>
    <w:p w14:paraId="7E357225">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000000"/>
          <w:sz w:val="32"/>
          <w:szCs w:val="32"/>
          <w:lang w:eastAsia="zh-CN"/>
        </w:rPr>
        <w:t>（5）</w:t>
      </w:r>
      <w:r>
        <w:rPr>
          <w:rFonts w:hint="eastAsia" w:ascii="仿宋_GB2312" w:hAnsi="仿宋_GB2312" w:eastAsia="仿宋_GB2312" w:cs="仿宋_GB2312"/>
          <w:b w:val="0"/>
          <w:bCs w:val="0"/>
          <w:color w:val="000000"/>
          <w:sz w:val="32"/>
          <w:szCs w:val="32"/>
          <w:lang w:val="en-US" w:eastAsia="zh-CN"/>
        </w:rPr>
        <w:t>教</w:t>
      </w:r>
      <w:r>
        <w:rPr>
          <w:rFonts w:hint="eastAsia" w:ascii="仿宋_GB2312" w:hAnsi="仿宋_GB2312" w:eastAsia="仿宋_GB2312" w:cs="仿宋_GB2312"/>
          <w:b w:val="0"/>
          <w:bCs w:val="0"/>
          <w:color w:val="000000"/>
          <w:sz w:val="32"/>
          <w:szCs w:val="32"/>
          <w:lang w:eastAsia="zh-CN"/>
        </w:rPr>
        <w:t>学评价</w:t>
      </w:r>
    </w:p>
    <w:p w14:paraId="38607F0B">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描述课堂教学评价的方法与评价工具。教学评价应紧密围绕教学目标。</w:t>
      </w:r>
    </w:p>
    <w:p w14:paraId="55DC2500">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（6）教学反思</w:t>
      </w:r>
    </w:p>
    <w:p w14:paraId="6311E793">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总结本堂课的教学效果和教学经验，分析亮点和创新之处。可通过专家评语、学生反馈、教师个人反思等体现。</w:t>
      </w:r>
    </w:p>
    <w:p w14:paraId="34CEB368">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lang w:val="en-US" w:eastAsia="zh-CN"/>
        </w:rPr>
        <w:t>2.</w:t>
      </w:r>
      <w:r>
        <w:rPr>
          <w:rFonts w:hint="eastAsia" w:ascii="仿宋_GB2312" w:hAnsi="仿宋_GB2312" w:eastAsia="仿宋_GB2312" w:cs="仿宋_GB2312"/>
          <w:b w:val="0"/>
          <w:bCs w:val="0"/>
          <w:color w:val="000000"/>
          <w:sz w:val="32"/>
          <w:szCs w:val="32"/>
        </w:rPr>
        <w:t>课堂实录</w:t>
      </w:r>
    </w:p>
    <w:p w14:paraId="34AB2047">
      <w:pPr>
        <w:pStyle w:val="17"/>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sz w:val="32"/>
          <w:szCs w:val="32"/>
        </w:rPr>
        <w:t>以MP</w:t>
      </w:r>
      <w:r>
        <w:rPr>
          <w:rStyle w:val="14"/>
          <w:rFonts w:hint="eastAsia" w:ascii="仿宋_GB2312" w:hAnsi="仿宋_GB2312" w:eastAsia="仿宋_GB2312" w:cs="仿宋_GB2312"/>
          <w:b w:val="0"/>
          <w:bCs w:val="0"/>
          <w:sz w:val="32"/>
          <w:szCs w:val="32"/>
        </w:rPr>
        <w:t>4</w:t>
      </w:r>
      <w:r>
        <w:rPr>
          <w:rFonts w:hint="eastAsia" w:ascii="仿宋_GB2312" w:hAnsi="仿宋_GB2312" w:eastAsia="仿宋_GB2312" w:cs="仿宋_GB2312"/>
          <w:b w:val="0"/>
          <w:bCs w:val="0"/>
          <w:sz w:val="32"/>
          <w:szCs w:val="32"/>
        </w:rPr>
        <w:t>视频文件形式提交。</w:t>
      </w:r>
      <w:r>
        <w:rPr>
          <w:rFonts w:hint="eastAsia" w:ascii="仿宋_GB2312" w:hAnsi="仿宋_GB2312" w:eastAsia="仿宋_GB2312" w:cs="仿宋_GB2312"/>
          <w:b w:val="0"/>
          <w:bCs w:val="0"/>
          <w:kern w:val="0"/>
          <w:sz w:val="32"/>
          <w:szCs w:val="32"/>
        </w:rPr>
        <w:t>课堂实录要展现案例中教师完整的教学过程，同时要在适当的时候插入学生的课堂活动。建议教师做好课堂实录后对其进行适当的后期剪辑处理，在适当环节插入使用到的“央馆虚拟实验”资源，展示使用的软硬件环境，并保证画面清晰可见。具体要求如下：</w:t>
      </w:r>
    </w:p>
    <w:p w14:paraId="492CDDFE">
      <w:pPr>
        <w:pStyle w:val="17"/>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lang w:eastAsia="zh-CN"/>
        </w:rPr>
        <w:t>（</w:t>
      </w:r>
      <w:r>
        <w:rPr>
          <w:rFonts w:hint="eastAsia" w:ascii="仿宋_GB2312" w:hAnsi="仿宋_GB2312" w:eastAsia="仿宋_GB2312" w:cs="仿宋_GB2312"/>
          <w:b w:val="0"/>
          <w:bCs w:val="0"/>
          <w:kern w:val="0"/>
          <w:sz w:val="32"/>
          <w:szCs w:val="32"/>
        </w:rPr>
        <w:t>1</w:t>
      </w:r>
      <w:r>
        <w:rPr>
          <w:rFonts w:hint="eastAsia" w:ascii="仿宋_GB2312" w:hAnsi="仿宋_GB2312" w:eastAsia="仿宋_GB2312" w:cs="仿宋_GB2312"/>
          <w:b w:val="0"/>
          <w:bCs w:val="0"/>
          <w:kern w:val="0"/>
          <w:sz w:val="32"/>
          <w:szCs w:val="32"/>
          <w:lang w:eastAsia="zh-CN"/>
        </w:rPr>
        <w:t>）</w:t>
      </w:r>
      <w:r>
        <w:rPr>
          <w:rFonts w:hint="eastAsia" w:ascii="仿宋_GB2312" w:hAnsi="仿宋_GB2312" w:eastAsia="仿宋_GB2312" w:cs="仿宋_GB2312"/>
          <w:b w:val="0"/>
          <w:bCs w:val="0"/>
          <w:kern w:val="0"/>
          <w:sz w:val="32"/>
          <w:szCs w:val="32"/>
        </w:rPr>
        <w:t>录制课堂实录要有片头，片头时长不超过5秒。内容包括：课题、年级、主讲教师工作单位和姓名等。每堂课仅允许有一位主讲教师。</w:t>
      </w:r>
    </w:p>
    <w:p w14:paraId="505853E8">
      <w:pPr>
        <w:pStyle w:val="17"/>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lang w:eastAsia="zh-CN"/>
        </w:rPr>
        <w:t>（</w:t>
      </w:r>
      <w:r>
        <w:rPr>
          <w:rFonts w:hint="eastAsia" w:ascii="仿宋_GB2312" w:hAnsi="仿宋_GB2312" w:eastAsia="仿宋_GB2312" w:cs="仿宋_GB2312"/>
          <w:b w:val="0"/>
          <w:bCs w:val="0"/>
          <w:kern w:val="0"/>
          <w:sz w:val="32"/>
          <w:szCs w:val="32"/>
        </w:rPr>
        <w:t>2</w:t>
      </w:r>
      <w:r>
        <w:rPr>
          <w:rFonts w:hint="eastAsia" w:ascii="仿宋_GB2312" w:hAnsi="仿宋_GB2312" w:eastAsia="仿宋_GB2312" w:cs="仿宋_GB2312"/>
          <w:b w:val="0"/>
          <w:bCs w:val="0"/>
          <w:kern w:val="0"/>
          <w:sz w:val="32"/>
          <w:szCs w:val="32"/>
          <w:lang w:eastAsia="zh-CN"/>
        </w:rPr>
        <w:t>）</w:t>
      </w:r>
      <w:r>
        <w:rPr>
          <w:rFonts w:hint="eastAsia" w:ascii="仿宋_GB2312" w:hAnsi="仿宋_GB2312" w:eastAsia="仿宋_GB2312" w:cs="仿宋_GB2312"/>
          <w:b w:val="0"/>
          <w:bCs w:val="0"/>
          <w:kern w:val="0"/>
          <w:sz w:val="32"/>
          <w:szCs w:val="32"/>
        </w:rPr>
        <w:t>课堂实录原片分辨率至少为标清，鼓励采用高清格式，视频数据小于1G，时长不少于30分钟。</w:t>
      </w:r>
    </w:p>
    <w:p w14:paraId="5E562114">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3.教学课件</w:t>
      </w:r>
    </w:p>
    <w:p w14:paraId="4DD0DDA3">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以演示文稿形式（</w:t>
      </w:r>
      <w:r>
        <w:rPr>
          <w:rFonts w:hint="eastAsia" w:ascii="仿宋_GB2312" w:hAnsi="仿宋_GB2312" w:eastAsia="仿宋_GB2312" w:cs="仿宋_GB2312"/>
          <w:b w:val="0"/>
          <w:bCs w:val="0"/>
          <w:kern w:val="0"/>
          <w:sz w:val="32"/>
          <w:szCs w:val="32"/>
        </w:rPr>
        <w:t>.ppt或.pptx格式</w:t>
      </w:r>
      <w:r>
        <w:rPr>
          <w:rFonts w:hint="eastAsia" w:ascii="仿宋_GB2312" w:hAnsi="仿宋_GB2312" w:eastAsia="仿宋_GB2312" w:cs="仿宋_GB2312"/>
          <w:b w:val="0"/>
          <w:bCs w:val="0"/>
          <w:sz w:val="32"/>
          <w:szCs w:val="32"/>
        </w:rPr>
        <w:t>）提交，</w:t>
      </w:r>
      <w:r>
        <w:rPr>
          <w:rFonts w:hint="eastAsia" w:ascii="仿宋_GB2312" w:hAnsi="仿宋_GB2312" w:eastAsia="仿宋_GB2312" w:cs="仿宋_GB2312"/>
          <w:b w:val="0"/>
          <w:bCs w:val="0"/>
          <w:kern w:val="0"/>
          <w:sz w:val="32"/>
          <w:szCs w:val="32"/>
        </w:rPr>
        <w:t>数据量小于100M。</w:t>
      </w:r>
    </w:p>
    <w:p w14:paraId="42F5BA05">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4.相关资源（可选）</w:t>
      </w:r>
    </w:p>
    <w:p w14:paraId="0D48684C">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以压缩文件形式（.zip或.rar格式）提交。压缩文件内含支持课堂教学活动和解决教学问题所用的学习任务单、音视频素材等其他资源（或资源链接）。</w:t>
      </w:r>
    </w:p>
    <w:p w14:paraId="297CED1B">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（三）工作流程</w:t>
      </w:r>
    </w:p>
    <w:p w14:paraId="21B383D2">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1.课例上传</w:t>
      </w:r>
    </w:p>
    <w:p w14:paraId="7D3F7FE0">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授课教师于2025年4月10日0</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00—10月15日24</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00间，将课例上传至中央电化教育馆中小学虚拟实验教学服务系统（vlab.eduyun.cn）全国师生数字素养提升实践活动（教师活动）中小学虚拟实验教学应用课例征集项目平台（以下简称“课例征集平台”）。</w:t>
      </w:r>
      <w:r>
        <w:rPr>
          <w:rFonts w:hint="eastAsia" w:ascii="仿宋_GB2312" w:hAnsi="仿宋_GB2312" w:eastAsia="仿宋_GB2312" w:cs="仿宋_GB2312"/>
          <w:b w:val="0"/>
          <w:bCs w:val="0"/>
          <w:sz w:val="32"/>
          <w:szCs w:val="32"/>
          <w:lang w:val="en-US" w:eastAsia="zh-CN"/>
        </w:rPr>
        <w:t>如需了解课例上传流程，请进入中央电化教育馆中小学虚拟实验教学服务系统“课例征集”栏目查阅</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全国师生</w:t>
      </w:r>
      <w:r>
        <w:rPr>
          <w:rFonts w:hint="eastAsia" w:ascii="仿宋_GB2312" w:hAnsi="仿宋_GB2312" w:eastAsia="仿宋_GB2312" w:cs="仿宋_GB2312"/>
          <w:b w:val="0"/>
          <w:bCs w:val="0"/>
          <w:sz w:val="32"/>
          <w:szCs w:val="32"/>
          <w:lang w:eastAsia="zh-CN"/>
        </w:rPr>
        <w:t>数字素养</w:t>
      </w:r>
      <w:r>
        <w:rPr>
          <w:rFonts w:hint="eastAsia" w:ascii="仿宋_GB2312" w:hAnsi="仿宋_GB2312" w:eastAsia="仿宋_GB2312" w:cs="仿宋_GB2312"/>
          <w:b w:val="0"/>
          <w:bCs w:val="0"/>
          <w:sz w:val="32"/>
          <w:szCs w:val="32"/>
        </w:rPr>
        <w:t>提升实践活动（教师活动）中小学</w:t>
      </w:r>
      <w:r>
        <w:rPr>
          <w:rFonts w:hint="eastAsia" w:ascii="仿宋_GB2312" w:hAnsi="仿宋_GB2312" w:eastAsia="仿宋_GB2312" w:cs="仿宋_GB2312"/>
          <w:b w:val="0"/>
          <w:bCs w:val="0"/>
          <w:sz w:val="32"/>
          <w:szCs w:val="32"/>
          <w:lang w:val="en-US" w:eastAsia="zh-CN"/>
        </w:rPr>
        <w:t>虚拟实验</w:t>
      </w:r>
      <w:r>
        <w:rPr>
          <w:rFonts w:hint="eastAsia" w:ascii="仿宋_GB2312" w:hAnsi="仿宋_GB2312" w:eastAsia="仿宋_GB2312" w:cs="仿宋_GB2312"/>
          <w:b w:val="0"/>
          <w:bCs w:val="0"/>
          <w:sz w:val="32"/>
          <w:szCs w:val="32"/>
        </w:rPr>
        <w:t>教</w:t>
      </w:r>
      <w:r>
        <w:rPr>
          <w:rFonts w:hint="eastAsia" w:ascii="仿宋_GB2312" w:hAnsi="仿宋_GB2312" w:eastAsia="仿宋_GB2312" w:cs="仿宋_GB2312"/>
          <w:sz w:val="32"/>
          <w:szCs w:val="32"/>
        </w:rPr>
        <w:t>学</w:t>
      </w:r>
      <w:r>
        <w:rPr>
          <w:rFonts w:hint="eastAsia" w:ascii="仿宋_GB2312" w:hAnsi="仿宋_GB2312" w:eastAsia="仿宋_GB2312" w:cs="仿宋_GB2312"/>
          <w:sz w:val="32"/>
          <w:szCs w:val="32"/>
          <w:lang w:val="en-US" w:eastAsia="zh-CN"/>
        </w:rPr>
        <w:t>应用</w:t>
      </w:r>
      <w:r>
        <w:rPr>
          <w:rFonts w:hint="eastAsia" w:ascii="仿宋_GB2312" w:hAnsi="仿宋_GB2312" w:eastAsia="仿宋_GB2312" w:cs="仿宋_GB2312"/>
          <w:sz w:val="32"/>
          <w:szCs w:val="32"/>
        </w:rPr>
        <w:t>课例征集项目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操作手册》。</w:t>
      </w:r>
    </w:p>
    <w:p w14:paraId="7A92B23A">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color w:val="000000"/>
          <w:sz w:val="32"/>
          <w:szCs w:val="32"/>
          <w:lang w:val="en-US" w:eastAsia="zh-CN"/>
        </w:rPr>
      </w:pPr>
      <w:r>
        <w:rPr>
          <w:rFonts w:hint="eastAsia" w:ascii="仿宋_GB2312" w:hAnsi="仿宋_GB2312" w:eastAsia="仿宋_GB2312" w:cs="仿宋_GB2312"/>
          <w:b w:val="0"/>
          <w:bCs/>
          <w:color w:val="000000"/>
          <w:sz w:val="32"/>
          <w:szCs w:val="32"/>
          <w:lang w:val="en-US" w:eastAsia="zh-CN"/>
        </w:rPr>
        <w:t>2.课例推荐与交流展示</w:t>
      </w:r>
    </w:p>
    <w:p w14:paraId="591515CF">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sz w:val="32"/>
          <w:szCs w:val="32"/>
          <w:lang w:val="en-US" w:eastAsia="zh-CN"/>
        </w:rPr>
        <w:t>教育部教育技术与资源发展</w:t>
      </w:r>
      <w:r>
        <w:rPr>
          <w:rFonts w:hint="eastAsia" w:ascii="仿宋_GB2312" w:hAnsi="仿宋_GB2312" w:eastAsia="仿宋_GB2312" w:cs="仿宋_GB2312"/>
          <w:b w:val="0"/>
          <w:bCs/>
          <w:sz w:val="32"/>
          <w:szCs w:val="32"/>
        </w:rPr>
        <w:t>中心</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中央电化教育馆</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将于2025年底前组织专家推荐确定课例征集项目入围课例（分为创新课例、典型课例、特色课例），由2025年全国师生数字素养提升实践活动（第二十九届教师活动）组委会统一公布入围课例名单。入围课例电子证书可在课例征集平台“我的证书”模块查询与下载。项目入</w:t>
      </w:r>
      <w:r>
        <w:rPr>
          <w:rFonts w:hint="eastAsia" w:ascii="仿宋_GB2312" w:hAnsi="仿宋_GB2312" w:eastAsia="仿宋_GB2312" w:cs="仿宋_GB2312"/>
          <w:sz w:val="32"/>
          <w:szCs w:val="32"/>
        </w:rPr>
        <w:t>围课例将在“中央电化教育馆中小学虚拟实验教学服务系统”上公开展示。</w:t>
      </w:r>
    </w:p>
    <w:p w14:paraId="45921B6E">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四</w:t>
      </w:r>
      <w:r>
        <w:rPr>
          <w:rFonts w:hint="eastAsia" w:ascii="仿宋_GB2312" w:hAnsi="仿宋_GB2312" w:eastAsia="仿宋_GB2312" w:cs="仿宋_GB2312"/>
          <w:b w:val="0"/>
          <w:bCs w:val="0"/>
          <w:sz w:val="32"/>
          <w:szCs w:val="32"/>
          <w:lang w:eastAsia="zh-CN"/>
        </w:rPr>
        <w:t>）咨询与服务</w:t>
      </w:r>
    </w:p>
    <w:p w14:paraId="45530D54">
      <w:pPr>
        <w:pageBreakBefore w:val="0"/>
        <w:kinsoku/>
        <w:wordWrap/>
        <w:overflowPunct/>
        <w:topLinePunct w:val="0"/>
        <w:autoSpaceDE/>
        <w:autoSpaceDN/>
        <w:bidi w:val="0"/>
        <w:snapToGrid w:val="0"/>
        <w:spacing w:line="560" w:lineRule="exact"/>
        <w:ind w:left="0" w:leftChars="0" w:firstLine="640"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如果您在工作中有问题需要咨询，请您通过以下方式联系</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教育部教育技术与资源发展中心（中央电化教育馆）</w:t>
      </w:r>
      <w:r>
        <w:rPr>
          <w:rFonts w:hint="eastAsia" w:ascii="仿宋_GB2312" w:hAnsi="仿宋_GB2312" w:eastAsia="仿宋_GB2312" w:cs="仿宋_GB2312"/>
          <w:color w:val="000000" w:themeColor="text1"/>
          <w:sz w:val="32"/>
          <w:szCs w:val="32"/>
          <w14:textFill>
            <w14:solidFill>
              <w14:schemeClr w14:val="tx1"/>
            </w14:solidFill>
          </w14:textFill>
        </w:rPr>
        <w:t>：</w:t>
      </w:r>
    </w:p>
    <w:p w14:paraId="559E6C66">
      <w:pPr>
        <w:pageBreakBefore w:val="0"/>
        <w:kinsoku/>
        <w:wordWrap/>
        <w:overflowPunct/>
        <w:topLinePunct w:val="0"/>
        <w:autoSpaceDE/>
        <w:autoSpaceDN/>
        <w:bidi w:val="0"/>
        <w:snapToGrid w:val="0"/>
        <w:spacing w:line="560" w:lineRule="exact"/>
        <w:ind w:left="0" w:leftChars="0" w:firstLine="640"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电话：4001910910 （工作日8:30—17:00）</w:t>
      </w:r>
    </w:p>
    <w:p w14:paraId="50AA77F5">
      <w:pPr>
        <w:pageBreakBefore w:val="0"/>
        <w:kinsoku/>
        <w:wordWrap/>
        <w:overflowPunct/>
        <w:topLinePunct w:val="0"/>
        <w:autoSpaceDE/>
        <w:autoSpaceDN/>
        <w:bidi w:val="0"/>
        <w:snapToGrid w:val="0"/>
        <w:spacing w:line="560" w:lineRule="exact"/>
        <w:ind w:left="0" w:leftChars="0" w:firstLine="640"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邮箱：</w:t>
      </w:r>
      <w:r>
        <w:rPr>
          <w:rFonts w:hint="eastAsia" w:ascii="仿宋_GB2312" w:hAnsi="仿宋_GB2312" w:eastAsia="仿宋_GB2312" w:cs="仿宋_GB2312"/>
          <w:color w:val="000000" w:themeColor="text1"/>
          <w:sz w:val="32"/>
          <w:szCs w:val="32"/>
          <w14:textFill>
            <w14:solidFill>
              <w14:schemeClr w14:val="tx1"/>
            </w14:solidFill>
          </w14:textFill>
        </w:rPr>
        <w:fldChar w:fldCharType="begin"/>
      </w:r>
      <w:r>
        <w:rPr>
          <w:rFonts w:hint="eastAsia" w:ascii="仿宋_GB2312" w:hAnsi="仿宋_GB2312" w:eastAsia="仿宋_GB2312" w:cs="仿宋_GB2312"/>
          <w:color w:val="000000" w:themeColor="text1"/>
          <w:sz w:val="32"/>
          <w:szCs w:val="32"/>
          <w14:textFill>
            <w14:solidFill>
              <w14:schemeClr w14:val="tx1"/>
            </w14:solidFill>
          </w14:textFill>
        </w:rPr>
        <w:instrText xml:space="preserve"> HYPERLINK "mailto:kefu@moe.edu.cn" </w:instrText>
      </w:r>
      <w:r>
        <w:rPr>
          <w:rFonts w:hint="eastAsia" w:ascii="仿宋_GB2312" w:hAnsi="仿宋_GB2312" w:eastAsia="仿宋_GB2312" w:cs="仿宋_GB2312"/>
          <w:color w:val="000000" w:themeColor="text1"/>
          <w:sz w:val="32"/>
          <w:szCs w:val="32"/>
          <w14:textFill>
            <w14:solidFill>
              <w14:schemeClr w14:val="tx1"/>
            </w14:solidFill>
          </w14:textFill>
        </w:rPr>
        <w:fldChar w:fldCharType="separate"/>
      </w:r>
      <w:r>
        <w:rPr>
          <w:rStyle w:val="15"/>
          <w:rFonts w:hint="eastAsia" w:ascii="仿宋_GB2312" w:hAnsi="仿宋_GB2312" w:eastAsia="仿宋_GB2312" w:cs="仿宋_GB2312"/>
          <w:sz w:val="32"/>
          <w:szCs w:val="32"/>
        </w:rPr>
        <w:t>kefu@moe.edu.cn</w:t>
      </w:r>
      <w:r>
        <w:rPr>
          <w:rFonts w:hint="eastAsia" w:ascii="仿宋_GB2312" w:hAnsi="仿宋_GB2312" w:eastAsia="仿宋_GB2312" w:cs="仿宋_GB2312"/>
          <w:color w:val="000000" w:themeColor="text1"/>
          <w:sz w:val="32"/>
          <w:szCs w:val="32"/>
          <w14:textFill>
            <w14:solidFill>
              <w14:schemeClr w14:val="tx1"/>
            </w14:solidFill>
          </w14:textFill>
        </w:rPr>
        <w:fldChar w:fldCharType="end"/>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QQ</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1703866009</w:t>
      </w:r>
    </w:p>
    <w:p w14:paraId="059D44AA">
      <w:pPr>
        <w:pageBreakBefore w:val="0"/>
        <w:kinsoku/>
        <w:wordWrap/>
        <w:overflowPunct/>
        <w:topLinePunct w:val="0"/>
        <w:autoSpaceDE/>
        <w:autoSpaceDN/>
        <w:bidi w:val="0"/>
        <w:snapToGrid w:val="0"/>
        <w:spacing w:line="560" w:lineRule="exact"/>
        <w:ind w:left="0" w:leftChars="0" w:firstLine="640"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微信：央馆虚拟实验客服（工作日9:00-18:00）</w:t>
      </w:r>
    </w:p>
    <w:p w14:paraId="3416DF9C">
      <w:pPr>
        <w:pageBreakBefore w:val="0"/>
        <w:kinsoku/>
        <w:wordWrap/>
        <w:overflowPunct/>
        <w:topLinePunct w:val="0"/>
        <w:autoSpaceDE/>
        <w:autoSpaceDN/>
        <w:bidi w:val="0"/>
        <w:snapToGrid w:val="0"/>
        <w:spacing w:line="560" w:lineRule="exact"/>
        <w:ind w:left="0" w:leftChars="0" w:firstLine="640" w:firstLineChars="20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drawing>
          <wp:anchor distT="0" distB="0" distL="114300" distR="114300" simplePos="0" relativeHeight="251660288" behindDoc="0" locked="0" layoutInCell="1" allowOverlap="1">
            <wp:simplePos x="0" y="0"/>
            <wp:positionH relativeFrom="column">
              <wp:posOffset>1558290</wp:posOffset>
            </wp:positionH>
            <wp:positionV relativeFrom="paragraph">
              <wp:posOffset>40005</wp:posOffset>
            </wp:positionV>
            <wp:extent cx="2091055" cy="2126615"/>
            <wp:effectExtent l="9525" t="9525" r="13970" b="16510"/>
            <wp:wrapTopAndBottom/>
            <wp:docPr id="469" name="图片 45" descr="企业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45" descr="企业微信二维码"/>
                    <pic:cNvPicPr>
                      <a:picLocks noChangeAspect="1"/>
                    </pic:cNvPicPr>
                  </pic:nvPicPr>
                  <pic:blipFill>
                    <a:blip r:embed="rId6" cstate="print"/>
                    <a:stretch>
                      <a:fillRect/>
                    </a:stretch>
                  </pic:blipFill>
                  <pic:spPr>
                    <a:xfrm>
                      <a:off x="0" y="0"/>
                      <a:ext cx="2091055" cy="2126615"/>
                    </a:xfrm>
                    <a:prstGeom prst="rect">
                      <a:avLst/>
                    </a:prstGeom>
                    <a:ln>
                      <a:solidFill>
                        <a:schemeClr val="tx1"/>
                      </a:solidFill>
                    </a:ln>
                  </pic:spPr>
                </pic:pic>
              </a:graphicData>
            </a:graphic>
          </wp:anchor>
        </w:drawing>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官方公众号：扫描下方二维码，关注微信公众号一师一课（CN1s1k），获取更多活动资讯。</w:t>
      </w:r>
      <w:bookmarkStart w:id="17" w:name="_GoBack"/>
      <w:bookmarkEnd w:id="17"/>
    </w:p>
    <w:p w14:paraId="10EB85DD">
      <w:pPr>
        <w:widowControl/>
        <w:jc w:val="center"/>
        <w:rPr>
          <w:rFonts w:ascii="Times New Roman" w:hAnsi="仿宋_GB2312" w:eastAsia="仿宋_GB2312"/>
          <w:szCs w:val="28"/>
        </w:rPr>
      </w:pPr>
      <w:r>
        <w:rPr>
          <w:rFonts w:ascii="Times New Roman" w:hAnsi="Times New Roman" w:eastAsia="仿宋_GB2312"/>
          <w:sz w:val="24"/>
        </w:rPr>
        <w:drawing>
          <wp:inline distT="0" distB="0" distL="0" distR="0">
            <wp:extent cx="2149475" cy="2149475"/>
            <wp:effectExtent l="9525" t="9525" r="12700"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cstate="print"/>
                    <a:srcRect/>
                    <a:stretch>
                      <a:fillRect/>
                    </a:stretch>
                  </pic:blipFill>
                  <pic:spPr>
                    <a:xfrm>
                      <a:off x="0" y="0"/>
                      <a:ext cx="2149475" cy="2149475"/>
                    </a:xfrm>
                    <a:prstGeom prst="rect">
                      <a:avLst/>
                    </a:prstGeom>
                    <a:noFill/>
                    <a:ln w="9525">
                      <a:solidFill>
                        <a:schemeClr val="tx1"/>
                      </a:solidFill>
                      <a:miter lim="800000"/>
                      <a:headEnd/>
                      <a:tailEnd/>
                    </a:ln>
                  </pic:spPr>
                </pic:pic>
              </a:graphicData>
            </a:graphic>
          </wp:inline>
        </w:drawing>
      </w:r>
    </w:p>
    <w:p w14:paraId="02747B68">
      <w:pPr>
        <w:keepNext w:val="0"/>
        <w:keepLines w:val="0"/>
        <w:pageBreakBefore w:val="0"/>
        <w:widowControl w:val="0"/>
        <w:kinsoku/>
        <w:wordWrap/>
        <w:overflowPunct/>
        <w:topLinePunct w:val="0"/>
        <w:autoSpaceDE/>
        <w:autoSpaceDN/>
        <w:bidi w:val="0"/>
        <w:adjustRightInd/>
        <w:snapToGrid/>
        <w:spacing w:line="560" w:lineRule="exact"/>
        <w:ind w:left="0" w:leftChars="0" w:firstLine="880" w:firstLineChars="200"/>
        <w:jc w:val="center"/>
        <w:textAlignment w:val="auto"/>
        <w:rPr>
          <w:rFonts w:hint="eastAsia" w:ascii="方正小标宋简体" w:hAnsi="方正小标宋简体" w:eastAsia="方正小标宋简体" w:cs="方正小标宋简体"/>
          <w:sz w:val="44"/>
          <w:szCs w:val="44"/>
          <w:highlight w:val="none"/>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4D899">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F2637">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F0F2637">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80A00"/>
    <w:rsid w:val="00A61BF4"/>
    <w:rsid w:val="013138ED"/>
    <w:rsid w:val="02363044"/>
    <w:rsid w:val="06135CB3"/>
    <w:rsid w:val="07AF1085"/>
    <w:rsid w:val="0902043D"/>
    <w:rsid w:val="0EA41EB5"/>
    <w:rsid w:val="0EF652A0"/>
    <w:rsid w:val="0F8B0B9B"/>
    <w:rsid w:val="10CF4BB9"/>
    <w:rsid w:val="152C64B6"/>
    <w:rsid w:val="176A5B2B"/>
    <w:rsid w:val="1A7D3400"/>
    <w:rsid w:val="1B2232AC"/>
    <w:rsid w:val="1CFC330C"/>
    <w:rsid w:val="1EA23587"/>
    <w:rsid w:val="20ED0D40"/>
    <w:rsid w:val="278A6B9A"/>
    <w:rsid w:val="2A034632"/>
    <w:rsid w:val="2E114AFB"/>
    <w:rsid w:val="32BD7F78"/>
    <w:rsid w:val="333E6304"/>
    <w:rsid w:val="38951732"/>
    <w:rsid w:val="3B7F2EAE"/>
    <w:rsid w:val="3D5026AD"/>
    <w:rsid w:val="3D74650C"/>
    <w:rsid w:val="42023D60"/>
    <w:rsid w:val="440537C7"/>
    <w:rsid w:val="46334133"/>
    <w:rsid w:val="465006B3"/>
    <w:rsid w:val="489225BE"/>
    <w:rsid w:val="4AD70EDF"/>
    <w:rsid w:val="4F787315"/>
    <w:rsid w:val="50541C2A"/>
    <w:rsid w:val="52961F35"/>
    <w:rsid w:val="58AB7D8E"/>
    <w:rsid w:val="5AAA1B68"/>
    <w:rsid w:val="5B940305"/>
    <w:rsid w:val="5C002480"/>
    <w:rsid w:val="5D057357"/>
    <w:rsid w:val="5D104DEC"/>
    <w:rsid w:val="5FC93634"/>
    <w:rsid w:val="610B114F"/>
    <w:rsid w:val="640C1EEC"/>
    <w:rsid w:val="65D027F8"/>
    <w:rsid w:val="680B7E6D"/>
    <w:rsid w:val="687C1816"/>
    <w:rsid w:val="73D82B6C"/>
    <w:rsid w:val="74696757"/>
    <w:rsid w:val="77B96E10"/>
    <w:rsid w:val="79111AC9"/>
    <w:rsid w:val="7D390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99"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paragraph" w:styleId="4">
    <w:name w:val="heading 3"/>
    <w:basedOn w:val="1"/>
    <w:next w:val="1"/>
    <w:qFormat/>
    <w:uiPriority w:val="9"/>
    <w:pPr>
      <w:keepNext/>
      <w:keepLines/>
      <w:spacing w:before="260" w:after="260" w:line="416" w:lineRule="auto"/>
      <w:outlineLvl w:val="2"/>
    </w:pPr>
    <w:rPr>
      <w:rFonts w:eastAsia="微软雅黑"/>
      <w:b/>
      <w:bCs/>
      <w:kern w:val="0"/>
      <w:szCs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line="500" w:lineRule="exact"/>
    </w:pPr>
    <w:rPr>
      <w:rFonts w:ascii="宋体" w:hAnsi="宋体"/>
      <w:sz w:val="28"/>
    </w:rPr>
  </w:style>
  <w:style w:type="paragraph" w:styleId="6">
    <w:name w:val="Body Text Indent"/>
    <w:basedOn w:val="1"/>
    <w:qFormat/>
    <w:uiPriority w:val="0"/>
    <w:pPr>
      <w:ind w:firstLine="640" w:firstLineChars="200"/>
    </w:pPr>
    <w:rPr>
      <w:rFonts w:ascii="仿宋_GB2312" w:eastAsia="仿宋_GB2312"/>
      <w:bCs/>
      <w:sz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Indent 3"/>
    <w:basedOn w:val="1"/>
    <w:unhideWhenUsed/>
    <w:qFormat/>
    <w:uiPriority w:val="99"/>
    <w:pPr>
      <w:spacing w:after="120"/>
      <w:ind w:left="420" w:leftChars="200"/>
    </w:pPr>
    <w:rPr>
      <w:sz w:val="16"/>
      <w:szCs w:val="16"/>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w:basedOn w:val="5"/>
    <w:next w:val="1"/>
    <w:qFormat/>
    <w:uiPriority w:val="0"/>
    <w:pPr>
      <w:spacing w:after="120" w:line="240" w:lineRule="auto"/>
      <w:ind w:firstLine="420" w:firstLineChars="100"/>
    </w:pPr>
    <w:rPr>
      <w:rFonts w:ascii="Times New Roman" w:hAnsi="Times New Roman"/>
      <w:sz w:val="21"/>
    </w:rPr>
  </w:style>
  <w:style w:type="character" w:styleId="14">
    <w:name w:val="Strong"/>
    <w:qFormat/>
    <w:uiPriority w:val="0"/>
    <w:rPr>
      <w:b/>
      <w:bCs/>
    </w:rPr>
  </w:style>
  <w:style w:type="character" w:styleId="15">
    <w:name w:val="Hyperlink"/>
    <w:qFormat/>
    <w:uiPriority w:val="0"/>
    <w:rPr>
      <w:color w:val="0000FF"/>
      <w:u w:val="single"/>
    </w:rPr>
  </w:style>
  <w:style w:type="character" w:customStyle="1" w:styleId="16">
    <w:name w:val="Char Char Char Char"/>
    <w:autoRedefine/>
    <w:qFormat/>
    <w:uiPriority w:val="0"/>
    <w:rPr>
      <w:rFonts w:eastAsia="宋体"/>
      <w:b/>
      <w:bCs/>
      <w:kern w:val="2"/>
      <w:sz w:val="32"/>
      <w:szCs w:val="32"/>
      <w:lang w:val="en-US" w:eastAsia="zh-CN" w:bidi="ar-SA"/>
    </w:rPr>
  </w:style>
  <w:style w:type="paragraph" w:customStyle="1" w:styleId="17">
    <w:name w:val="列出段落1"/>
    <w:basedOn w:val="1"/>
    <w:autoRedefine/>
    <w:qFormat/>
    <w:uiPriority w:val="34"/>
    <w:pPr>
      <w:ind w:firstLine="420" w:firstLineChars="200"/>
    </w:pPr>
    <w:rPr>
      <w:rFonts w:eastAsia="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3404</Words>
  <Characters>3670</Characters>
  <Lines>0</Lines>
  <Paragraphs>0</Paragraphs>
  <TotalTime>14</TotalTime>
  <ScaleCrop>false</ScaleCrop>
  <LinksUpToDate>false</LinksUpToDate>
  <CharactersWithSpaces>3684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2021-03-26T09:54:00Z</dcterms:created>
  <dc:creator>Huang</dc:creator>
  <cp:lastModifiedBy>Yellow-Nils</cp:lastModifiedBy>
  <dcterms:modified xsi:type="dcterms:W3CDTF">2025-04-22T10:36:05Z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49D8400713D8431290398C98772B575B_13</vt:lpwstr>
  </property>
  <property fmtid="{D5CDD505-2E9C-101B-9397-08002B2CF9AE}" pid="4" name="KSOTemplateDocerSaveRecord">
    <vt:lpwstr>eyJoZGlkIjoiMTA0ZTk2ZGJkYWVjZGM0OTlmMjE3ZTI0ZWY5OTUzMzAiLCJ1c2VySWQiOiI0Mjg0Njk0NzcifQ==</vt:lpwstr>
  </property>
</Properties>
</file>