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教育技术论文专项</w:t>
      </w:r>
    </w:p>
    <w:p w14:paraId="70ADC85D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/>
          <w:lang w:val="en-US" w:eastAsia="zh-CN"/>
        </w:rPr>
      </w:pPr>
    </w:p>
    <w:p w14:paraId="32D9A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一、活动主题</w:t>
      </w:r>
    </w:p>
    <w:p w14:paraId="4B258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ascii="仿宋_GB2312" w:eastAsia="仿宋_GB2312"/>
          <w:b w:val="0"/>
          <w:bCs w:val="0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以习近平新时代中国特色社会主义思想为指导，深入贯彻落实党的二十大和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党的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二十届三中全会、全国教育大会精神，围绕加快教育现代化、建设教育强国、办好人民满意的教育，以“推进教育数字化，助力建设教育强国”为主题，推动教育数字化转型，服务中国式教育现代化发展。具体选题如下：</w:t>
      </w:r>
    </w:p>
    <w:p w14:paraId="23CE249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教育数字化转型理论与实践研究；</w:t>
      </w:r>
    </w:p>
    <w:p w14:paraId="5345156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“双减”政策及其落实措施、效果研究；</w:t>
      </w:r>
    </w:p>
    <w:p w14:paraId="1F290C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“三个课堂”的教学应用研究；</w:t>
      </w:r>
    </w:p>
    <w:p w14:paraId="4266614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国家中小学智慧教育平台实践应用研究；</w:t>
      </w:r>
    </w:p>
    <w:p w14:paraId="3829E52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数字教育资源助力中小学课后服务开展研究；</w:t>
      </w:r>
    </w:p>
    <w:p w14:paraId="6DEB5A3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教育数字化助力乡村教育振兴研究；</w:t>
      </w:r>
    </w:p>
    <w:p w14:paraId="07ADB10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基于新课程标准，发展学生核心素养研究；</w:t>
      </w:r>
    </w:p>
    <w:p w14:paraId="306E03E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基于数字技术的跨学科融合应用研究；</w:t>
      </w:r>
    </w:p>
    <w:p w14:paraId="53131A1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数字化教学模式研究；</w:t>
      </w:r>
    </w:p>
    <w:p w14:paraId="493635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中小学科学教育实践研究；</w:t>
      </w:r>
    </w:p>
    <w:p w14:paraId="19FC481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网络教研与教师专业发展研究；</w:t>
      </w:r>
    </w:p>
    <w:p w14:paraId="413030A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师生数字素养现状与提升研究；</w:t>
      </w:r>
    </w:p>
    <w:p w14:paraId="749DA68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数字技术赋能实验教学变革研究；</w:t>
      </w:r>
    </w:p>
    <w:p w14:paraId="40C8AE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5G、人工智能、区块链、云计算、大数据、AR/VR/MR等新技术推动教育数字化转型，赋能教育教学变革研究；</w:t>
      </w:r>
    </w:p>
    <w:p w14:paraId="4DB4A1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中国移动“和教育”系列产品设计及其教育应用研究；</w:t>
      </w:r>
    </w:p>
    <w:p w14:paraId="271D2F3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eastAsia="仿宋_GB2312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中国移动人工智能、5G智慧教育系列产品（如智慧校园、电子学生证、智慧考场等）应用设计及实践。</w:t>
      </w:r>
    </w:p>
    <w:p w14:paraId="53BF6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bookmarkStart w:id="0" w:name="_Toc94346061"/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撰写要求</w:t>
      </w:r>
    </w:p>
    <w:p w14:paraId="608F3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楷体_GB2312" w:hAnsi="微软雅黑" w:eastAsia="楷体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文章要有明确的观点和具体内容，围绕教育教学实践开展研究，重在原创，突出重点，反映学术和实践创新。文章全文5000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8000字，包含题目、摘要（200字以上）、关键词（3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5个）、正文、参考文献、文中引等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作者不超过3人，文章重复率不超过15%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知网</w:t>
      </w:r>
      <w:r>
        <w:rPr>
          <w:rFonts w:hint="eastAsia" w:ascii="仿宋_GB2312" w:eastAsia="仿宋_GB2312" w:cs="Times New Roman"/>
          <w:bCs w:val="0"/>
          <w:kern w:val="2"/>
          <w:sz w:val="32"/>
          <w:szCs w:val="32"/>
          <w:lang w:val="en-US" w:eastAsia="zh-CN" w:bidi="ar-SA"/>
        </w:rPr>
        <w:t>查重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并将本年度内查重报告截图附于论文最后，</w:t>
      </w:r>
      <w:r>
        <w:rPr>
          <w:rFonts w:hint="eastAsia" w:ascii="仿宋_GB2312" w:hAnsi="仿宋_GB2312" w:eastAsia="仿宋_GB2312" w:cs="仿宋_GB2312"/>
          <w:sz w:val="32"/>
          <w:szCs w:val="32"/>
        </w:rPr>
        <w:t>论文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中不得出现</w:t>
      </w:r>
      <w:r>
        <w:rPr>
          <w:rFonts w:hint="eastAsia" w:ascii="仿宋_GB2312" w:hAnsi="仿宋_GB2312" w:eastAsia="仿宋_GB2312" w:cs="仿宋_GB2312"/>
          <w:sz w:val="32"/>
          <w:szCs w:val="32"/>
        </w:rPr>
        <w:t>作者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姓</w:t>
      </w:r>
      <w:r>
        <w:rPr>
          <w:rFonts w:hint="eastAsia" w:ascii="仿宋_GB2312" w:hAnsi="仿宋_GB2312" w:eastAsia="仿宋_GB2312" w:cs="仿宋_GB2312"/>
          <w:sz w:val="32"/>
          <w:szCs w:val="32"/>
        </w:rPr>
        <w:t>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联系方式。</w:t>
      </w:r>
    </w:p>
    <w:bookmarkEnd w:id="0"/>
    <w:p w14:paraId="25AD762E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价值性</w:t>
      </w:r>
    </w:p>
    <w:p w14:paraId="3E606BE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选题价值：论文选题紧密结合当前教育教学实际情况，体现当前新课程改革的相关要求，突出数字技术与教育创新主题，具有重要的实践指导价值和可推广价值。</w:t>
      </w:r>
    </w:p>
    <w:p w14:paraId="45C94C9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应用价值：论文观点鲜明，围绕数字技术教育应用的理论与实践问题提出切实有效的解决措施，重在解决实际问题，指导教学实践，具有启发性和可借鉴价值。</w:t>
      </w:r>
    </w:p>
    <w:p w14:paraId="14479C62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科学性</w:t>
      </w:r>
    </w:p>
    <w:p w14:paraId="1CD0C11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论点正确，符合实际，表述准确。论据科学、稳定、严密；实验及调查数据准确可靠，符合教学规律，没有不确定、猜测性的内容。研究方法科学，资料数据</w:t>
      </w:r>
      <w:r>
        <w:rPr>
          <w:rFonts w:hint="eastAsia"/>
          <w:bCs w:val="0"/>
          <w:sz w:val="32"/>
          <w:szCs w:val="32"/>
          <w:lang w:val="en-US" w:eastAsia="zh-CN"/>
        </w:rPr>
        <w:t>详</w:t>
      </w:r>
      <w:r>
        <w:rPr>
          <w:rFonts w:hint="eastAsia"/>
          <w:bCs w:val="0"/>
          <w:sz w:val="32"/>
          <w:szCs w:val="32"/>
          <w:lang w:eastAsia="zh-CN"/>
        </w:rPr>
        <w:t>实</w:t>
      </w:r>
      <w:r>
        <w:rPr>
          <w:rFonts w:hint="eastAsia"/>
          <w:bCs w:val="0"/>
          <w:sz w:val="32"/>
          <w:szCs w:val="32"/>
        </w:rPr>
        <w:t>，推理严密，统计分析正确。</w:t>
      </w:r>
    </w:p>
    <w:p w14:paraId="6789BEA1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创新性</w:t>
      </w:r>
    </w:p>
    <w:p w14:paraId="7EB36ED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理论创新：结合当前数字教育的理论研究进展，提出新的教育思想、方法和手段，对已有的数字教育理论进行科学的修正和补充，而不是对已有研究结论的再次论证。</w:t>
      </w:r>
    </w:p>
    <w:p w14:paraId="319E03B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实践创新：在数字教育应用实践方面取得创新的进展或突破，有新思考、新方法、新策略、新探索。</w:t>
      </w:r>
    </w:p>
    <w:p w14:paraId="2DEFBA4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研究方法创新：用新的方法进行探索和研究；对已有的方法进行科学</w:t>
      </w:r>
      <w:r>
        <w:rPr>
          <w:rFonts w:hint="eastAsia"/>
          <w:bCs w:val="0"/>
          <w:sz w:val="32"/>
          <w:szCs w:val="32"/>
          <w:lang w:eastAsia="zh-CN"/>
        </w:rPr>
        <w:t>的</w:t>
      </w:r>
      <w:r>
        <w:rPr>
          <w:rFonts w:hint="eastAsia"/>
          <w:bCs w:val="0"/>
          <w:sz w:val="32"/>
          <w:szCs w:val="32"/>
        </w:rPr>
        <w:t>修正和补充。</w:t>
      </w:r>
    </w:p>
    <w:p w14:paraId="1CEF9C1D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规范性</w:t>
      </w:r>
    </w:p>
    <w:p w14:paraId="6F67B3B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文章体例严谨（有关键词、摘要、正文和参考文献等），论述严谨，逻辑性强；概念表述清晰准确，内容和纲要切题，引用规范，图表制作精确；无知识性和常识性错误，文笔流畅，文字优美，可读性强。</w:t>
      </w:r>
    </w:p>
    <w:p w14:paraId="04B765EB">
      <w:pPr>
        <w:pStyle w:val="5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实践性</w:t>
      </w:r>
    </w:p>
    <w:p w14:paraId="35FB2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能够结合教育教学实际，充分利用数字资源、产品以及智慧教育平台进行论文撰写。</w:t>
      </w:r>
    </w:p>
    <w:p w14:paraId="028D5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论文资格审定</w:t>
      </w:r>
    </w:p>
    <w:p w14:paraId="3146A81F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有政治原则性错误和科学常识性错误的论文，取消推荐资格。</w:t>
      </w:r>
    </w:p>
    <w:p w14:paraId="2C9AC807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严禁剽窃或抄袭行为，一经发现，直接取消该论文推荐资格，并将有关情况通报批评。作者需保证稿件及各种说明、引言等无任何法律纠纷，剽窃或抄袭产生的法律纠纷由作者本人负责。由人工智能生成的论文，取消推荐资格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。</w:t>
      </w:r>
    </w:p>
    <w:p w14:paraId="527D7584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论文后须附查重报告，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报告必须是本年度使用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知网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进行查重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且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重复率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不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超过15%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，无查重报告或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重复率超过15%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的取消推荐资格。</w:t>
      </w:r>
    </w:p>
    <w:p w14:paraId="3756FA64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作者所投稿件必须是从未在任何报刊、杂志等媒体发表的原创论文。</w:t>
      </w:r>
    </w:p>
    <w:p w14:paraId="5EA9843B">
      <w:pPr>
        <w:pStyle w:val="5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不符合论文形态界定相关要求的论文，取消推荐资格。具体论文格式规范可参考附件1。</w:t>
      </w:r>
    </w:p>
    <w:p w14:paraId="5FC3C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、活动流程</w:t>
      </w:r>
    </w:p>
    <w:p w14:paraId="508956D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论文报送</w:t>
      </w:r>
    </w:p>
    <w:p w14:paraId="47D8AE1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本次论文活动采用在线投稿方式，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自愿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参与活动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的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教师直接将论文提交到论文活动专用网站。首先进行注册，填写个人真实信息：作者姓名、单位</w:t>
      </w:r>
      <w:r>
        <w:rPr>
          <w:rFonts w:hint="eastAsia" w:cs="Times New Roman"/>
          <w:bCs w:val="0"/>
          <w:kern w:val="2"/>
          <w:sz w:val="32"/>
          <w:szCs w:val="32"/>
          <w:lang w:val="en-US" w:eastAsia="zh-CN" w:bidi="ar-SA"/>
        </w:rPr>
        <w:t>（以单位公章为准）</w:t>
      </w: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、联系电话、电子邮件、通讯地址、邮政编码、文章重复率等；注册后提交论文，每人只能提交一篇论文，提交后不能修改,活动全程免费。</w:t>
      </w:r>
    </w:p>
    <w:p w14:paraId="6F4F9F2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bCs w:val="0"/>
          <w:kern w:val="2"/>
          <w:sz w:val="32"/>
          <w:szCs w:val="32"/>
          <w:lang w:val="en-US" w:eastAsia="zh-CN" w:bidi="ar-SA"/>
        </w:rPr>
        <w:t>论文提交时间：5月6日-7月31日</w:t>
      </w:r>
    </w:p>
    <w:p w14:paraId="1459885A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区级推荐</w:t>
      </w:r>
    </w:p>
    <w:p w14:paraId="00247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由宁夏电化教育中心（宁夏教育电视台）负责区级</w:t>
      </w:r>
      <w:r>
        <w:rPr>
          <w:rFonts w:hint="eastAsia" w:ascii="仿宋_GB2312" w:eastAsia="仿宋_GB2312"/>
          <w:sz w:val="32"/>
          <w:szCs w:val="32"/>
        </w:rPr>
        <w:t>推荐，推荐标准见附件2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071F42D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全国推荐</w:t>
      </w:r>
    </w:p>
    <w:p w14:paraId="1A04A59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由</w:t>
      </w:r>
      <w:r>
        <w:rPr>
          <w:rFonts w:hint="eastAsia"/>
          <w:sz w:val="32"/>
          <w:szCs w:val="32"/>
        </w:rPr>
        <w:t>教育部教育技术与资源发展中心（中央电化教育馆）</w:t>
      </w:r>
      <w:r>
        <w:rPr>
          <w:rFonts w:hint="eastAsia"/>
          <w:bCs w:val="0"/>
          <w:sz w:val="32"/>
          <w:szCs w:val="32"/>
        </w:rPr>
        <w:t>根据专家推荐，遴选出高质量论文。</w:t>
      </w:r>
    </w:p>
    <w:p w14:paraId="0B496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ascii="仿宋_GB2312" w:hAnsi="楷体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公布结果时间：11月上旬</w:t>
      </w:r>
    </w:p>
    <w:p w14:paraId="765DB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公布结果方式：在教育部教育技术与资源发展中心（中央电化教育馆）官网公布。</w:t>
      </w:r>
    </w:p>
    <w:p w14:paraId="418C3A7C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交流展示与发表</w:t>
      </w:r>
    </w:p>
    <w:p w14:paraId="0AD3F3A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高质量论文参加全国展示交流活动（另行通知）。</w:t>
      </w:r>
      <w:r>
        <w:rPr>
          <w:rFonts w:hint="eastAsia"/>
          <w:sz w:val="32"/>
          <w:szCs w:val="32"/>
        </w:rPr>
        <w:t>对于</w:t>
      </w:r>
      <w:r>
        <w:rPr>
          <w:rFonts w:hint="eastAsia"/>
          <w:bCs w:val="0"/>
          <w:sz w:val="32"/>
          <w:szCs w:val="32"/>
        </w:rPr>
        <w:t>部分符合刊发标准的论文将推荐在《中国电化教育》《教育与装备研究》发表。</w:t>
      </w:r>
    </w:p>
    <w:p w14:paraId="73998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、活动网址</w:t>
      </w:r>
    </w:p>
    <w:p w14:paraId="54D14DC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  <w:lang w:val="en-US" w:eastAsia="zh-CN"/>
        </w:rPr>
        <w:t>电脑端：</w:t>
      </w:r>
      <w:r>
        <w:rPr>
          <w:rFonts w:hint="eastAsia"/>
          <w:bCs w:val="0"/>
          <w:sz w:val="32"/>
          <w:szCs w:val="32"/>
        </w:rPr>
        <w:t>http://edu.10086.cn/lunwen</w:t>
      </w:r>
    </w:p>
    <w:p w14:paraId="43C6C92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/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手机客户端</w:t>
      </w:r>
      <w:r>
        <w:rPr>
          <w:rFonts w:hint="eastAsia"/>
          <w:bCs w:val="0"/>
          <w:sz w:val="32"/>
          <w:szCs w:val="32"/>
          <w:lang w:eastAsia="zh-CN"/>
        </w:rPr>
        <w:t>：</w:t>
      </w:r>
      <w:r>
        <w:rPr>
          <w:rFonts w:hint="eastAsia"/>
          <w:bCs w:val="0"/>
          <w:sz w:val="32"/>
          <w:szCs w:val="32"/>
        </w:rPr>
        <w:t>http://edu.10086.cn/app</w:t>
      </w:r>
    </w:p>
    <w:p w14:paraId="0C74D44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教育部教育技术与资源发展中心（中央电化教育馆）官网</w:t>
      </w:r>
      <w:r>
        <w:rPr>
          <w:rFonts w:hint="eastAsia"/>
          <w:bCs w:val="0"/>
          <w:sz w:val="32"/>
          <w:szCs w:val="32"/>
          <w:lang w:eastAsia="zh-CN"/>
        </w:rPr>
        <w:t>：</w:t>
      </w:r>
      <w:r>
        <w:rPr>
          <w:bCs w:val="0"/>
          <w:color w:val="auto"/>
          <w:sz w:val="32"/>
          <w:szCs w:val="32"/>
        </w:rPr>
        <w:fldChar w:fldCharType="begin"/>
      </w:r>
      <w:r>
        <w:rPr>
          <w:rFonts w:hint="eastAsia"/>
          <w:bCs w:val="0"/>
          <w:color w:val="auto"/>
          <w:sz w:val="32"/>
          <w:szCs w:val="32"/>
        </w:rPr>
        <w:instrText xml:space="preserve">HYPERLINK "http://www.ncet.edu.cn/"</w:instrText>
      </w:r>
      <w:r>
        <w:rPr>
          <w:bCs w:val="0"/>
          <w:color w:val="auto"/>
          <w:sz w:val="32"/>
          <w:szCs w:val="32"/>
        </w:rPr>
        <w:fldChar w:fldCharType="separate"/>
      </w:r>
      <w:r>
        <w:rPr>
          <w:rStyle w:val="13"/>
          <w:rFonts w:hint="eastAsia"/>
          <w:bCs w:val="0"/>
          <w:color w:val="auto"/>
          <w:sz w:val="32"/>
          <w:szCs w:val="32"/>
          <w:u w:val="none"/>
        </w:rPr>
        <w:t>http://www.ncet.edu.cn/</w:t>
      </w:r>
      <w:r>
        <w:rPr>
          <w:bCs w:val="0"/>
          <w:color w:val="auto"/>
          <w:sz w:val="32"/>
          <w:szCs w:val="32"/>
        </w:rPr>
        <w:fldChar w:fldCharType="end"/>
      </w:r>
      <w:bookmarkStart w:id="2" w:name="_GoBack"/>
      <w:bookmarkEnd w:id="2"/>
    </w:p>
    <w:p w14:paraId="5B5CFA6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bCs w:val="0"/>
          <w:sz w:val="32"/>
          <w:szCs w:val="32"/>
        </w:rPr>
      </w:pPr>
      <w:r>
        <w:rPr>
          <w:rFonts w:hint="eastAsia"/>
          <w:bCs w:val="0"/>
          <w:sz w:val="32"/>
          <w:szCs w:val="32"/>
        </w:rPr>
        <w:t>论文活动公众号:</w:t>
      </w:r>
    </w:p>
    <w:p w14:paraId="6BA11834">
      <w:pPr>
        <w:pStyle w:val="5"/>
        <w:ind w:left="0" w:leftChars="0" w:firstLine="0" w:firstLineChars="0"/>
        <w:jc w:val="center"/>
      </w:pPr>
      <w:r>
        <w:rPr>
          <w:rFonts w:hint="eastAsia"/>
          <w:bCs/>
          <w:sz w:val="28"/>
          <w:szCs w:val="32"/>
        </w:rPr>
        <w:drawing>
          <wp:inline distT="0" distB="0" distL="114300" distR="114300">
            <wp:extent cx="2393315" cy="2393315"/>
            <wp:effectExtent l="0" t="0" r="6985" b="6985"/>
            <wp:docPr id="2" name="图片 1" descr="论文活动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论文活动二维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CEC02">
      <w:pPr>
        <w:numPr>
          <w:ilvl w:val="0"/>
          <w:numId w:val="0"/>
        </w:numPr>
        <w:suppressAutoHyphens/>
        <w:bidi w:val="0"/>
        <w:spacing w:line="560" w:lineRule="exact"/>
        <w:ind w:firstLine="602" w:firstLineChars="200"/>
        <w:rPr>
          <w:rFonts w:hint="eastAsia" w:ascii="仿宋_GB2312" w:hAnsi="仿宋_GB2312" w:eastAsia="仿宋_GB2312" w:cs="Times New Roman"/>
          <w:b/>
          <w:bCs/>
          <w:sz w:val="30"/>
          <w:szCs w:val="30"/>
          <w:lang w:val="en-US" w:eastAsia="zh-CN"/>
        </w:rPr>
      </w:pPr>
    </w:p>
    <w:p w14:paraId="7ABCA72A">
      <w:pPr>
        <w:numPr>
          <w:ilvl w:val="0"/>
          <w:numId w:val="0"/>
        </w:numPr>
        <w:suppressAutoHyphens/>
        <w:bidi w:val="0"/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论文格式规范要求</w:t>
      </w:r>
    </w:p>
    <w:p w14:paraId="7DE41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附件2：教育技术论文活动推荐标准</w:t>
      </w:r>
    </w:p>
    <w:p w14:paraId="073B4999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br w:type="page"/>
      </w:r>
    </w:p>
    <w:p w14:paraId="48814BE1"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附件1：</w:t>
      </w:r>
    </w:p>
    <w:p w14:paraId="3CBC3856">
      <w:pPr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论文格式规范要求</w:t>
      </w:r>
    </w:p>
    <w:p w14:paraId="2A7489FF">
      <w:pPr>
        <w:pStyle w:val="8"/>
        <w:spacing w:line="460" w:lineRule="exact"/>
        <w:ind w:left="0" w:leftChars="0"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依据中华人民共和国国家标准《出版物上数字用法的规定》（GB/T15835—1995）、《标点符号用法》（GB/T15834—1995）、《学术论文编写规则（GB/T 7713.2—2022）》等和《教育与装备研究》期刊论文的文稿特点和要求，为了做好论文活动，规范论文格式，特制定本规范要求。</w:t>
      </w:r>
    </w:p>
    <w:p w14:paraId="3F59F066">
      <w:pPr>
        <w:spacing w:before="156" w:beforeLines="50" w:after="156" w:afterLines="50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一、内容要求</w:t>
      </w:r>
    </w:p>
    <w:p w14:paraId="53386635">
      <w:pPr>
        <w:pStyle w:val="8"/>
        <w:spacing w:line="460" w:lineRule="exact"/>
        <w:ind w:left="0" w:leftChars="0" w:firstLine="560" w:firstLineChars="200"/>
        <w:rPr>
          <w:rFonts w:hint="eastAsia" w:ascii="仿宋_GB2312" w:eastAsia="仿宋_GB2312"/>
          <w:bCs/>
          <w:kern w:val="0"/>
          <w:sz w:val="28"/>
          <w:szCs w:val="28"/>
        </w:rPr>
      </w:pPr>
      <w:r>
        <w:rPr>
          <w:rFonts w:hint="eastAsia" w:ascii="仿宋_GB2312" w:eastAsia="仿宋_GB2312"/>
          <w:bCs/>
          <w:kern w:val="0"/>
          <w:sz w:val="28"/>
          <w:szCs w:val="28"/>
        </w:rPr>
        <w:t>文章力求简练、论点明确、层次清楚、逻辑合理。文章选题围绕活动主题，文章内容重在创新，要在现有研究基础上提出创新性的内容、思想和观点。文章字数一般5000～8000字，重复率不超过15%，不存在人工智能技术生成论文的情况。</w:t>
      </w:r>
    </w:p>
    <w:p w14:paraId="7888016F">
      <w:pPr>
        <w:spacing w:before="156" w:beforeLines="50" w:after="156" w:afterLines="50"/>
        <w:ind w:firstLine="640" w:firstLineChars="200"/>
        <w:rPr>
          <w:rFonts w:hint="eastAsia"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二、格式要求</w:t>
      </w:r>
    </w:p>
    <w:p w14:paraId="564084BF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（一）题名、摘要、关键词</w:t>
      </w:r>
    </w:p>
    <w:p w14:paraId="078B7985">
      <w:pPr>
        <w:spacing w:before="240" w:line="460" w:lineRule="exact"/>
        <w:ind w:right="-57" w:rightChars="-27" w:firstLine="560" w:firstLineChars="200"/>
        <w:rPr>
          <w:rFonts w:hint="eastAsia" w:ascii="仿宋_GB2312" w:eastAsia="仿宋_GB2312"/>
          <w:bCs/>
          <w:kern w:val="0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题名和摘要应通俗易懂，要准确、简洁、规范。</w:t>
      </w:r>
      <w:r>
        <w:rPr>
          <w:rFonts w:hint="eastAsia" w:ascii="仿宋_GB2312" w:eastAsia="仿宋_GB2312"/>
          <w:bCs/>
          <w:kern w:val="0"/>
          <w:sz w:val="28"/>
          <w:szCs w:val="28"/>
        </w:rPr>
        <w:t>题名言简意赅，25字以内，题名在文章中不同地方出现应保持一致，如有必要，可以增加副题名。摘要是对论文内容不加注释和评论的简短陈述，一般包括研究目的、方法、结果和结论，用第三人称,摘要中不要出现“本文”“本人”“笔者”等词，字数300字左右为宜。</w:t>
      </w:r>
    </w:p>
    <w:p w14:paraId="008FFD3F">
      <w:pPr>
        <w:spacing w:before="240" w:line="460" w:lineRule="exact"/>
        <w:ind w:right="-57" w:rightChars="-27" w:firstLine="560" w:firstLineChars="200"/>
      </w:pPr>
      <w:r>
        <w:rPr>
          <w:rFonts w:hint="eastAsia" w:ascii="仿宋_GB2312" w:eastAsia="仿宋_GB2312"/>
          <w:sz w:val="28"/>
          <w:szCs w:val="28"/>
        </w:rPr>
        <w:t>文章应</w:t>
      </w:r>
      <w:r>
        <w:rPr>
          <w:rFonts w:hint="eastAsia" w:ascii="仿宋_GB2312" w:eastAsia="仿宋_GB2312"/>
          <w:bCs/>
          <w:kern w:val="0"/>
          <w:sz w:val="28"/>
          <w:szCs w:val="28"/>
        </w:rPr>
        <w:t>提供3～5个反映论文主题的</w:t>
      </w:r>
      <w:r>
        <w:rPr>
          <w:rFonts w:hint="eastAsia" w:ascii="仿宋_GB2312" w:eastAsia="仿宋_GB2312"/>
          <w:sz w:val="28"/>
          <w:szCs w:val="28"/>
        </w:rPr>
        <w:t>关键词，关键词要有检索价值，不同关键词之间以“；”分隔，置于摘要之后。</w:t>
      </w:r>
      <w:r>
        <w:rPr>
          <w:rFonts w:hint="eastAsia"/>
        </w:rPr>
        <w:t xml:space="preserve"> </w:t>
      </w:r>
    </w:p>
    <w:p w14:paraId="641B7ECB">
      <w:pPr>
        <w:spacing w:before="156" w:beforeLines="50" w:line="460" w:lineRule="exact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（二）图、表</w:t>
      </w:r>
    </w:p>
    <w:p w14:paraId="48159C18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图表中的数值需合理使用SI词头或10的幂，使数值范围在0.1～999之间。图或表应放在相应正文之后，并注明“见图1、图2</w:t>
      </w:r>
      <w:r>
        <w:rPr>
          <w:rFonts w:hint="eastAsia" w:ascii="仿宋_GB2312" w:hAnsi="宋体" w:eastAsia="仿宋_GB2312"/>
          <w:sz w:val="28"/>
          <w:szCs w:val="28"/>
        </w:rPr>
        <w:t>…</w:t>
      </w:r>
      <w:r>
        <w:rPr>
          <w:rFonts w:hint="eastAsia" w:ascii="仿宋_GB2312" w:eastAsia="仿宋_GB2312"/>
          <w:sz w:val="28"/>
          <w:szCs w:val="28"/>
        </w:rPr>
        <w:t>（或见表1、表2…）”，图或表分别按出现顺序用“图1、图2</w:t>
      </w:r>
      <w:r>
        <w:rPr>
          <w:rFonts w:hint="eastAsia" w:ascii="仿宋_GB2312" w:hAnsi="宋体" w:eastAsia="仿宋_GB2312"/>
          <w:sz w:val="28"/>
          <w:szCs w:val="28"/>
        </w:rPr>
        <w:t>…</w:t>
      </w:r>
      <w:r>
        <w:rPr>
          <w:rFonts w:hint="eastAsia" w:ascii="仿宋_GB2312" w:eastAsia="仿宋_GB2312"/>
          <w:sz w:val="28"/>
          <w:szCs w:val="28"/>
        </w:rPr>
        <w:t>”或“表1</w:t>
      </w:r>
      <w:bookmarkStart w:id="1" w:name="_Hlk139376733"/>
      <w:r>
        <w:rPr>
          <w:rFonts w:hint="eastAsia" w:ascii="仿宋_GB2312" w:eastAsia="仿宋_GB2312"/>
          <w:sz w:val="28"/>
          <w:szCs w:val="28"/>
        </w:rPr>
        <w:t>、表2…</w:t>
      </w:r>
      <w:bookmarkEnd w:id="1"/>
      <w:r>
        <w:rPr>
          <w:rFonts w:hint="eastAsia" w:ascii="仿宋_GB2312" w:eastAsia="仿宋_GB2312"/>
          <w:sz w:val="28"/>
          <w:szCs w:val="28"/>
        </w:rPr>
        <w:t xml:space="preserve">”统一编号，并注明标题及注释。图或表的序号、标题及注释需居中。图片和表格不宜过多，图片要有足够的清晰度，保证图片效果。 </w:t>
      </w:r>
    </w:p>
    <w:p w14:paraId="7C39BD3E">
      <w:pPr>
        <w:spacing w:line="460" w:lineRule="exact"/>
        <w:ind w:firstLine="560" w:firstLineChars="200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（1）图</w:t>
      </w:r>
    </w:p>
    <w:p w14:paraId="5B2F33DD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文章中的插图应在文章相应位置空出图位，图的序号和标题应置于图位下方（见图1）。</w:t>
      </w:r>
    </w:p>
    <w:p w14:paraId="0F717EAD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 xml:space="preserve">表示数量的图、表中的量和图的数轴应给出单位，并采用国际标准单位。与数据相关的图，如速度随时间变化图，应突出有效的数据曲线；教具等实物图应使背景尽量简单，突出实物。图片不宜过多，能将叙述内容表达清楚即可。本刊为黑白印刷，请自行处理彩色图片。 </w:t>
      </w:r>
    </w:p>
    <w:p w14:paraId="78EE0829">
      <w:pPr>
        <w:jc w:val="center"/>
      </w:pPr>
      <w:r>
        <w:drawing>
          <wp:inline distT="0" distB="0" distL="114300" distR="114300">
            <wp:extent cx="1280795" cy="1746250"/>
            <wp:effectExtent l="0" t="0" r="14605" b="6350"/>
            <wp:docPr id="3" name="图片 2" descr="教育装备刊物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教育装备刊物改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8DC82">
      <w:pPr>
        <w:jc w:val="center"/>
        <w:rPr>
          <w:rFonts w:hint="eastAsia"/>
        </w:rPr>
      </w:pPr>
      <w:r>
        <w:rPr>
          <w:rFonts w:hint="eastAsia"/>
        </w:rPr>
        <w:t>图1  教育与装备研究</w:t>
      </w:r>
    </w:p>
    <w:p w14:paraId="535223C9">
      <w:pPr>
        <w:spacing w:line="460" w:lineRule="exact"/>
        <w:ind w:firstLine="560" w:firstLineChars="200"/>
        <w:rPr>
          <w:rFonts w:hint="eastAsia"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（2）表</w:t>
      </w:r>
    </w:p>
    <w:p w14:paraId="69A3A74B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表格采用三线表。表的序号及标题置于表格上方，表注放在表格的下方（见表1）。</w:t>
      </w:r>
    </w:p>
    <w:p w14:paraId="4832713A">
      <w:pPr>
        <w:jc w:val="center"/>
        <w:rPr>
          <w:rFonts w:hint="eastAsia"/>
        </w:rPr>
      </w:pPr>
      <w:r>
        <w:rPr>
          <w:rFonts w:hint="eastAsia"/>
        </w:rPr>
        <w:t>表1  表格示例</w:t>
      </w:r>
    </w:p>
    <w:tbl>
      <w:tblPr>
        <w:tblStyle w:val="11"/>
        <w:tblW w:w="5000" w:type="pct"/>
        <w:tblInd w:w="108" w:type="dxa"/>
        <w:tblBorders>
          <w:top w:val="single" w:color="008000" w:sz="12" w:space="0"/>
          <w:left w:val="none" w:color="auto" w:sz="0" w:space="0"/>
          <w:bottom w:val="single" w:color="008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2"/>
        <w:gridCol w:w="3283"/>
        <w:gridCol w:w="1566"/>
        <w:gridCol w:w="2241"/>
      </w:tblGrid>
      <w:tr w14:paraId="608D6536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128CEFC3">
            <w:pPr>
              <w:jc w:val="center"/>
              <w:rPr>
                <w:rFonts w:hint="eastAsia"/>
              </w:rPr>
            </w:pPr>
            <w:r>
              <w:rPr>
                <w:rFonts w:hint="eastAsia"/>
                <w:iCs/>
              </w:rPr>
              <w:t>组别</w:t>
            </w:r>
          </w:p>
        </w:tc>
        <w:tc>
          <w:tcPr>
            <w:tcW w:w="1926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37AC66CA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v</w:t>
            </w:r>
            <w:r>
              <w:rPr>
                <w:rFonts w:hint="eastAsia"/>
              </w:rPr>
              <w:t>/(m·s</w:t>
            </w:r>
            <w:r>
              <w:rPr>
                <w:rFonts w:hint="eastAsia"/>
                <w:szCs w:val="21"/>
                <w:vertAlign w:val="superscript"/>
              </w:rPr>
              <w:t>-1</w:t>
            </w:r>
            <w:r>
              <w:rPr>
                <w:rFonts w:hint="eastAsia"/>
              </w:rPr>
              <w:t>)</w:t>
            </w:r>
          </w:p>
        </w:tc>
        <w:tc>
          <w:tcPr>
            <w:tcW w:w="919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053E0E3E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S</w:t>
            </w:r>
            <w:r>
              <w:rPr>
                <w:rFonts w:hint="eastAsia"/>
              </w:rPr>
              <w:t>/m</w:t>
            </w:r>
          </w:p>
        </w:tc>
        <w:tc>
          <w:tcPr>
            <w:tcW w:w="1315" w:type="pct"/>
            <w:tcBorders>
              <w:top w:val="single" w:color="008000" w:sz="12" w:space="0"/>
              <w:bottom w:val="single" w:color="008000" w:sz="6" w:space="0"/>
            </w:tcBorders>
            <w:noWrap w:val="0"/>
            <w:vAlign w:val="top"/>
          </w:tcPr>
          <w:p w14:paraId="1DDA8C53">
            <w:pPr>
              <w:jc w:val="center"/>
              <w:rPr>
                <w:rFonts w:hint="eastAsia"/>
              </w:rPr>
            </w:pPr>
            <w:r>
              <w:rPr>
                <w:rFonts w:hint="eastAsia"/>
                <w:i/>
                <w:iCs/>
              </w:rPr>
              <w:t>p</w:t>
            </w:r>
            <w:r>
              <w:rPr>
                <w:rFonts w:hint="eastAsia"/>
              </w:rPr>
              <w:t>/MPa</w:t>
            </w:r>
          </w:p>
        </w:tc>
      </w:tr>
      <w:tr w14:paraId="41B4DBD2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noWrap w:val="0"/>
            <w:vAlign w:val="top"/>
          </w:tcPr>
          <w:p w14:paraId="74C94EE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926" w:type="pct"/>
            <w:noWrap w:val="0"/>
            <w:vAlign w:val="top"/>
          </w:tcPr>
          <w:p w14:paraId="4AC1853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3.12</w:t>
            </w:r>
          </w:p>
        </w:tc>
        <w:tc>
          <w:tcPr>
            <w:tcW w:w="919" w:type="pct"/>
            <w:noWrap w:val="0"/>
            <w:vAlign w:val="top"/>
          </w:tcPr>
          <w:p w14:paraId="28AB817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7.8</w:t>
            </w:r>
          </w:p>
        </w:tc>
        <w:tc>
          <w:tcPr>
            <w:tcW w:w="1315" w:type="pct"/>
            <w:noWrap w:val="0"/>
            <w:vAlign w:val="top"/>
          </w:tcPr>
          <w:p w14:paraId="64B7026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71</w:t>
            </w:r>
          </w:p>
        </w:tc>
      </w:tr>
      <w:tr w14:paraId="381413EE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noWrap w:val="0"/>
            <w:vAlign w:val="top"/>
          </w:tcPr>
          <w:p w14:paraId="64BC7CB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926" w:type="pct"/>
            <w:noWrap w:val="0"/>
            <w:vAlign w:val="top"/>
          </w:tcPr>
          <w:p w14:paraId="0C1BAEB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3.14</w:t>
            </w:r>
          </w:p>
        </w:tc>
        <w:tc>
          <w:tcPr>
            <w:tcW w:w="919" w:type="pct"/>
            <w:noWrap w:val="0"/>
            <w:vAlign w:val="top"/>
          </w:tcPr>
          <w:p w14:paraId="773C5B3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8.0</w:t>
            </w:r>
          </w:p>
        </w:tc>
        <w:tc>
          <w:tcPr>
            <w:tcW w:w="1315" w:type="pct"/>
            <w:noWrap w:val="0"/>
            <w:vAlign w:val="top"/>
          </w:tcPr>
          <w:p w14:paraId="4DD6F26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73</w:t>
            </w:r>
          </w:p>
        </w:tc>
      </w:tr>
      <w:tr w14:paraId="629D2231">
        <w:tblPrEx>
          <w:tblBorders>
            <w:top w:val="single" w:color="008000" w:sz="12" w:space="0"/>
            <w:left w:val="none" w:color="auto" w:sz="0" w:space="0"/>
            <w:bottom w:val="single" w:color="008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40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2F6A5B0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</w:t>
            </w:r>
          </w:p>
        </w:tc>
        <w:tc>
          <w:tcPr>
            <w:tcW w:w="1926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2376DD8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3.13</w:t>
            </w:r>
          </w:p>
        </w:tc>
        <w:tc>
          <w:tcPr>
            <w:tcW w:w="919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79A4A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7.9</w:t>
            </w:r>
          </w:p>
        </w:tc>
        <w:tc>
          <w:tcPr>
            <w:tcW w:w="1315" w:type="pct"/>
            <w:tcBorders>
              <w:top w:val="single" w:color="008000" w:sz="6" w:space="0"/>
              <w:bottom w:val="single" w:color="008000" w:sz="12" w:space="0"/>
            </w:tcBorders>
            <w:noWrap w:val="0"/>
            <w:vAlign w:val="top"/>
          </w:tcPr>
          <w:p w14:paraId="6C8985A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72</w:t>
            </w:r>
          </w:p>
        </w:tc>
      </w:tr>
    </w:tbl>
    <w:p w14:paraId="557CDE7B"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注：此表为示范表格，作者可以根据自己的需求修改。表注为宋体小五号字。</w:t>
      </w:r>
    </w:p>
    <w:p w14:paraId="68A69373">
      <w:pPr>
        <w:spacing w:before="156" w:beforeLines="50"/>
        <w:ind w:firstLine="352" w:firstLineChars="1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（三）物理量、公式</w:t>
      </w:r>
    </w:p>
    <w:p w14:paraId="733B2F44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（1）名词、术语、数字、计量单位和数学符号等，必须符合国家标准。</w:t>
      </w:r>
    </w:p>
    <w:p w14:paraId="75EC49F5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（2）变量、函数(除sin等特殊意义的函数符号外)用斜体；矢量符号用黑斜体；其他文字都用正体。</w:t>
      </w:r>
    </w:p>
    <w:p w14:paraId="7E71E852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（3）文中、公式中的变量要在第1次提及时加以说明(常见的除外)，并自成系统，不相互矛盾。</w:t>
      </w:r>
    </w:p>
    <w:p w14:paraId="144EF22D">
      <w:pPr>
        <w:spacing w:before="240"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（4）文中的数字，如数量、长度等，用阿拉伯数字表示。单位用标准的符号表示。如：宽60cm，长90cm的木版1块。</w:t>
      </w:r>
    </w:p>
    <w:p w14:paraId="7319417B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（四）章节编号</w:t>
      </w:r>
    </w:p>
    <w:p w14:paraId="704C86D8">
      <w:pPr>
        <w:spacing w:line="46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（1）当使用分级标题时，一级标题用大写数字加顿号，即</w:t>
      </w:r>
      <w:r>
        <w:rPr>
          <w:rFonts w:hint="eastAsia" w:ascii="仿宋_GB2312" w:hAnsi="黑体" w:eastAsia="仿宋_GB2312"/>
          <w:sz w:val="28"/>
          <w:szCs w:val="28"/>
        </w:rPr>
        <w:t>一、二、三</w:t>
      </w:r>
      <w:r>
        <w:rPr>
          <w:rFonts w:hint="eastAsia" w:ascii="仿宋_GB2312" w:eastAsia="仿宋_GB2312"/>
          <w:sz w:val="28"/>
          <w:szCs w:val="28"/>
        </w:rPr>
        <w:t>…，字体为黑体小四字；二级标题用括号加大写数字，即</w:t>
      </w:r>
      <w:r>
        <w:rPr>
          <w:rFonts w:hint="eastAsia" w:ascii="仿宋_GB2312" w:hAnsi="黑体" w:eastAsia="仿宋_GB2312"/>
          <w:sz w:val="28"/>
          <w:szCs w:val="28"/>
        </w:rPr>
        <w:t>（一）、（二）、（三）</w:t>
      </w:r>
      <w:r>
        <w:rPr>
          <w:rFonts w:hint="eastAsia" w:ascii="仿宋_GB2312" w:eastAsia="仿宋_GB2312"/>
          <w:sz w:val="28"/>
          <w:szCs w:val="28"/>
        </w:rPr>
        <w:t>…，字体为黑体</w:t>
      </w:r>
      <w:r>
        <w:rPr>
          <w:rFonts w:hint="eastAsia" w:ascii="仿宋_GB2312" w:eastAsia="仿宋_GB2312"/>
          <w:bCs/>
          <w:kern w:val="0"/>
          <w:sz w:val="28"/>
          <w:szCs w:val="28"/>
        </w:rPr>
        <w:t>五号字；三级标题用小写字母加括号，即</w:t>
      </w:r>
      <w:r>
        <w:rPr>
          <w:rFonts w:hint="eastAsia" w:ascii="仿宋_GB2312" w:hAnsi="楷体" w:eastAsia="仿宋_GB2312"/>
          <w:bCs/>
          <w:kern w:val="0"/>
          <w:sz w:val="28"/>
          <w:szCs w:val="28"/>
        </w:rPr>
        <w:t>（1）</w:t>
      </w:r>
      <w:r>
        <w:rPr>
          <w:rFonts w:hint="eastAsia" w:ascii="仿宋_GB2312" w:hAnsi="楷体" w:eastAsia="仿宋_GB2312"/>
          <w:sz w:val="28"/>
          <w:szCs w:val="28"/>
        </w:rPr>
        <w:t>、（2）、（3）</w:t>
      </w:r>
      <w:r>
        <w:rPr>
          <w:rFonts w:hint="eastAsia" w:ascii="仿宋_GB2312" w:eastAsia="仿宋_GB2312"/>
          <w:sz w:val="28"/>
          <w:szCs w:val="28"/>
        </w:rPr>
        <w:t>……，</w:t>
      </w:r>
      <w:r>
        <w:rPr>
          <w:rFonts w:hint="eastAsia" w:ascii="仿宋_GB2312" w:eastAsia="仿宋_GB2312"/>
          <w:bCs/>
          <w:kern w:val="0"/>
          <w:sz w:val="28"/>
          <w:szCs w:val="28"/>
        </w:rPr>
        <w:t>字体用楷体五号字。文章正文为宋体五号字。</w:t>
      </w:r>
    </w:p>
    <w:p w14:paraId="0FF837F4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（2）正文中的分点说明可用圆圈加小写数字，即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1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①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2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②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、</w:t>
      </w:r>
      <w:r>
        <w:rPr>
          <w:rFonts w:hint="eastAsia" w:ascii="仿宋_GB2312" w:eastAsia="仿宋_GB2312"/>
          <w:sz w:val="28"/>
          <w:szCs w:val="28"/>
        </w:rPr>
        <w:fldChar w:fldCharType="begin"/>
      </w:r>
      <w:r>
        <w:rPr>
          <w:rFonts w:hint="eastAsia" w:ascii="仿宋_GB2312" w:eastAsia="仿宋_GB2312"/>
          <w:sz w:val="28"/>
          <w:szCs w:val="28"/>
        </w:rPr>
        <w:instrText xml:space="preserve"> = 3 \* GB3 </w:instrText>
      </w:r>
      <w:r>
        <w:rPr>
          <w:rFonts w:hint="eastAsia" w:ascii="仿宋_GB2312" w:eastAsia="仿宋_GB2312"/>
          <w:sz w:val="28"/>
          <w:szCs w:val="28"/>
        </w:rPr>
        <w:fldChar w:fldCharType="separate"/>
      </w:r>
      <w:r>
        <w:rPr>
          <w:rFonts w:hint="eastAsia" w:ascii="仿宋_GB2312" w:eastAsia="仿宋_GB2312"/>
          <w:sz w:val="28"/>
          <w:szCs w:val="28"/>
        </w:rPr>
        <w:t>③</w:t>
      </w:r>
      <w:r>
        <w:rPr>
          <w:rFonts w:hint="eastAsia" w:ascii="仿宋_GB2312" w:eastAsia="仿宋_GB2312"/>
          <w:sz w:val="28"/>
          <w:szCs w:val="28"/>
        </w:rPr>
        <w:fldChar w:fldCharType="end"/>
      </w:r>
      <w:r>
        <w:rPr>
          <w:rFonts w:hint="eastAsia" w:ascii="仿宋_GB2312" w:eastAsia="仿宋_GB2312"/>
          <w:sz w:val="28"/>
          <w:szCs w:val="28"/>
        </w:rPr>
        <w:t>…。</w:t>
      </w:r>
    </w:p>
    <w:p w14:paraId="077251A3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（3）书名、文章的标题等用书名号，课本中某一章以及实验名称都用双引号。如：《背影》，人教版高中《物理（选修3-4）》第十一章“机械振动”中的“探究单摆周期与摆长的关系”实验。</w:t>
      </w:r>
    </w:p>
    <w:p w14:paraId="60B8FDE7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（4）数字范围（参数范围）用浪纹线“</w:t>
      </w:r>
      <w:r>
        <w:rPr>
          <w:rFonts w:hint="eastAsia" w:ascii="仿宋_GB2312" w:eastAsia="仿宋_GB2312"/>
          <w:bCs/>
          <w:kern w:val="0"/>
          <w:sz w:val="28"/>
          <w:szCs w:val="28"/>
        </w:rPr>
        <w:t>～</w:t>
      </w:r>
      <w:r>
        <w:rPr>
          <w:rFonts w:hint="eastAsia" w:ascii="仿宋_GB2312" w:eastAsia="仿宋_GB2312"/>
          <w:sz w:val="28"/>
          <w:szCs w:val="28"/>
        </w:rPr>
        <w:t>”表示，起止页码范围用短横线“-”表示。</w:t>
      </w:r>
    </w:p>
    <w:p w14:paraId="10021ED8">
      <w:pPr>
        <w:spacing w:line="460" w:lineRule="exact"/>
        <w:ind w:firstLine="42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（5）标点符号必须符合国家标准，注意逗号和句号的应用，避免滥用逗号。</w:t>
      </w:r>
    </w:p>
    <w:p w14:paraId="1A7C6EA5">
      <w:pPr>
        <w:spacing w:before="156" w:beforeLines="50"/>
        <w:ind w:firstLine="592" w:firstLineChars="247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（五）参考文献</w:t>
      </w:r>
    </w:p>
    <w:p w14:paraId="4DF38BD0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参考文献只列出发表在正式出版物上的主要条目，不宜引用内部资料。同时，为保证文章的新颖性及相关性，请尽可能参引《教育与装备研究》等杂志近两年刊载的相关文献。没有引用学术思想和观点，仅仅是普通名词术语的引用，不建议引用参考文献。</w:t>
      </w:r>
    </w:p>
    <w:p w14:paraId="459882DA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  <w:highlight w:val="yellow"/>
        </w:rPr>
      </w:pPr>
      <w:r>
        <w:rPr>
          <w:rFonts w:hint="eastAsia" w:ascii="仿宋_GB2312" w:eastAsia="仿宋_GB2312"/>
          <w:sz w:val="28"/>
          <w:szCs w:val="28"/>
        </w:rPr>
        <w:t>（2）参考文献按正文中引用的先后次序用[1]、[2]、[3]等统一编号，并在文章引用地方利用上标标注</w:t>
      </w:r>
      <w:r>
        <w:rPr>
          <w:rFonts w:hint="eastAsia" w:ascii="仿宋_GB2312" w:eastAsia="仿宋_GB2312"/>
          <w:sz w:val="28"/>
          <w:szCs w:val="28"/>
          <w:vertAlign w:val="superscript"/>
        </w:rPr>
        <w:t>[1]</w:t>
      </w:r>
      <w:r>
        <w:rPr>
          <w:rFonts w:hint="eastAsia" w:ascii="仿宋_GB2312" w:eastAsia="仿宋_GB2312"/>
          <w:sz w:val="28"/>
          <w:szCs w:val="28"/>
        </w:rPr>
        <w:t>，并按照顺序排列。“参考文献”字体为黑体五号，所引文献字体为宋体六号。</w:t>
      </w:r>
    </w:p>
    <w:p w14:paraId="3226048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3）英文参考文献中，英文书名、英文刊名和英文会议论文集名需要加粗；文章名除首字母和专有名词外，其余均小写；作者姓前名后，姓氏全部大写，名只写首字母且大写，不需要使用表示省略的点号，姓和名之间不需要用逗号隔开，格式如TONG X D，WANG J。</w:t>
      </w:r>
    </w:p>
    <w:p w14:paraId="1800429A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（4）</w:t>
      </w:r>
      <w:r>
        <w:rPr>
          <w:rFonts w:hint="eastAsia" w:ascii="仿宋_GB2312" w:eastAsia="仿宋_GB2312"/>
          <w:sz w:val="28"/>
          <w:szCs w:val="28"/>
        </w:rPr>
        <w:t>文献类型及载体类型标识。</w:t>
      </w:r>
    </w:p>
    <w:tbl>
      <w:tblPr>
        <w:tblStyle w:val="1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708"/>
        <w:gridCol w:w="851"/>
        <w:gridCol w:w="992"/>
        <w:gridCol w:w="992"/>
        <w:gridCol w:w="993"/>
        <w:gridCol w:w="708"/>
        <w:gridCol w:w="709"/>
        <w:gridCol w:w="709"/>
      </w:tblGrid>
      <w:tr w14:paraId="1E3DB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noWrap w:val="0"/>
            <w:vAlign w:val="top"/>
          </w:tcPr>
          <w:p w14:paraId="0DAE61A4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参考文献类型</w:t>
            </w:r>
          </w:p>
        </w:tc>
        <w:tc>
          <w:tcPr>
            <w:tcW w:w="708" w:type="dxa"/>
            <w:noWrap w:val="0"/>
            <w:vAlign w:val="top"/>
          </w:tcPr>
          <w:p w14:paraId="40B2F1CF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专著</w:t>
            </w:r>
          </w:p>
        </w:tc>
        <w:tc>
          <w:tcPr>
            <w:tcW w:w="851" w:type="dxa"/>
            <w:noWrap w:val="0"/>
            <w:vAlign w:val="top"/>
          </w:tcPr>
          <w:p w14:paraId="41044D5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论文集</w:t>
            </w:r>
          </w:p>
        </w:tc>
        <w:tc>
          <w:tcPr>
            <w:tcW w:w="992" w:type="dxa"/>
            <w:noWrap w:val="0"/>
            <w:vAlign w:val="top"/>
          </w:tcPr>
          <w:p w14:paraId="4DDBA70D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报纸文章</w:t>
            </w:r>
          </w:p>
        </w:tc>
        <w:tc>
          <w:tcPr>
            <w:tcW w:w="992" w:type="dxa"/>
            <w:noWrap w:val="0"/>
            <w:vAlign w:val="top"/>
          </w:tcPr>
          <w:p w14:paraId="10BA425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期刊文章</w:t>
            </w:r>
          </w:p>
        </w:tc>
        <w:tc>
          <w:tcPr>
            <w:tcW w:w="993" w:type="dxa"/>
            <w:noWrap w:val="0"/>
            <w:vAlign w:val="top"/>
          </w:tcPr>
          <w:p w14:paraId="6BDB19A9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学位论文</w:t>
            </w:r>
          </w:p>
        </w:tc>
        <w:tc>
          <w:tcPr>
            <w:tcW w:w="708" w:type="dxa"/>
            <w:noWrap w:val="0"/>
            <w:vAlign w:val="top"/>
          </w:tcPr>
          <w:p w14:paraId="407FB3B9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报告</w:t>
            </w:r>
          </w:p>
        </w:tc>
        <w:tc>
          <w:tcPr>
            <w:tcW w:w="709" w:type="dxa"/>
            <w:noWrap w:val="0"/>
            <w:vAlign w:val="top"/>
          </w:tcPr>
          <w:p w14:paraId="71580AFC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</w:t>
            </w:r>
          </w:p>
        </w:tc>
        <w:tc>
          <w:tcPr>
            <w:tcW w:w="709" w:type="dxa"/>
            <w:noWrap w:val="0"/>
            <w:vAlign w:val="top"/>
          </w:tcPr>
          <w:p w14:paraId="1112754D">
            <w:pPr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专利</w:t>
            </w:r>
          </w:p>
        </w:tc>
      </w:tr>
      <w:tr w14:paraId="0C6F9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noWrap w:val="0"/>
            <w:vAlign w:val="top"/>
          </w:tcPr>
          <w:p w14:paraId="0853CAA7">
            <w:pPr>
              <w:rPr>
                <w:rFonts w:hint="eastAsia"/>
              </w:rPr>
            </w:pPr>
            <w:r>
              <w:rPr>
                <w:rFonts w:hint="eastAsia"/>
              </w:rPr>
              <w:t>文献类型标识</w:t>
            </w:r>
          </w:p>
        </w:tc>
        <w:tc>
          <w:tcPr>
            <w:tcW w:w="708" w:type="dxa"/>
            <w:noWrap w:val="0"/>
            <w:vAlign w:val="top"/>
          </w:tcPr>
          <w:p w14:paraId="54DA3BB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</w:p>
        </w:tc>
        <w:tc>
          <w:tcPr>
            <w:tcW w:w="851" w:type="dxa"/>
            <w:noWrap w:val="0"/>
            <w:vAlign w:val="top"/>
          </w:tcPr>
          <w:p w14:paraId="09088E2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992" w:type="dxa"/>
            <w:noWrap w:val="0"/>
            <w:vAlign w:val="top"/>
          </w:tcPr>
          <w:p w14:paraId="742FFA8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N</w:t>
            </w:r>
          </w:p>
        </w:tc>
        <w:tc>
          <w:tcPr>
            <w:tcW w:w="992" w:type="dxa"/>
            <w:noWrap w:val="0"/>
            <w:vAlign w:val="top"/>
          </w:tcPr>
          <w:p w14:paraId="6C55CA1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</w:t>
            </w:r>
          </w:p>
        </w:tc>
        <w:tc>
          <w:tcPr>
            <w:tcW w:w="993" w:type="dxa"/>
            <w:noWrap w:val="0"/>
            <w:vAlign w:val="top"/>
          </w:tcPr>
          <w:p w14:paraId="34D9C95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708" w:type="dxa"/>
            <w:noWrap w:val="0"/>
            <w:vAlign w:val="top"/>
          </w:tcPr>
          <w:p w14:paraId="23FF22B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R</w:t>
            </w:r>
          </w:p>
        </w:tc>
        <w:tc>
          <w:tcPr>
            <w:tcW w:w="709" w:type="dxa"/>
            <w:noWrap w:val="0"/>
            <w:vAlign w:val="top"/>
          </w:tcPr>
          <w:p w14:paraId="0B97F8F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</w:p>
        </w:tc>
        <w:tc>
          <w:tcPr>
            <w:tcW w:w="709" w:type="dxa"/>
            <w:noWrap w:val="0"/>
            <w:vAlign w:val="top"/>
          </w:tcPr>
          <w:p w14:paraId="20D2962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</w:t>
            </w:r>
          </w:p>
        </w:tc>
      </w:tr>
    </w:tbl>
    <w:p w14:paraId="7A8FC313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对于专著、论文集中的析出文献，其文献类型标识建议采用单字母“A”；对于其他未说明的文献类型，如“文件”建议采用单字母“Z”。</w:t>
      </w:r>
    </w:p>
    <w:p w14:paraId="71A7C9BB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（5）</w:t>
      </w:r>
      <w:r>
        <w:rPr>
          <w:rFonts w:hint="eastAsia" w:ascii="仿宋_GB2312" w:eastAsia="仿宋_GB2312"/>
          <w:sz w:val="28"/>
          <w:szCs w:val="28"/>
        </w:rPr>
        <w:t>对于数据库（database）、计算机程序（computer program）及电子公告（electronic bulletin board ）等电子文献类型的参考文献，以下列双字母作为标识：</w:t>
      </w:r>
    </w:p>
    <w:tbl>
      <w:tblPr>
        <w:tblStyle w:val="11"/>
        <w:tblW w:w="5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992"/>
        <w:gridCol w:w="1425"/>
        <w:gridCol w:w="1279"/>
      </w:tblGrid>
      <w:tr w14:paraId="21CE7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4" w:type="dxa"/>
            <w:noWrap w:val="0"/>
            <w:vAlign w:val="top"/>
          </w:tcPr>
          <w:p w14:paraId="37493A9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电子参考文献类型</w:t>
            </w:r>
          </w:p>
        </w:tc>
        <w:tc>
          <w:tcPr>
            <w:tcW w:w="992" w:type="dxa"/>
            <w:noWrap w:val="0"/>
            <w:vAlign w:val="top"/>
          </w:tcPr>
          <w:p w14:paraId="307D311A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数据库</w:t>
            </w:r>
          </w:p>
        </w:tc>
        <w:tc>
          <w:tcPr>
            <w:tcW w:w="1425" w:type="dxa"/>
            <w:noWrap w:val="0"/>
            <w:vAlign w:val="top"/>
          </w:tcPr>
          <w:p w14:paraId="3A05A01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计算机程序</w:t>
            </w:r>
          </w:p>
        </w:tc>
        <w:tc>
          <w:tcPr>
            <w:tcW w:w="1279" w:type="dxa"/>
            <w:noWrap w:val="0"/>
            <w:vAlign w:val="top"/>
          </w:tcPr>
          <w:p w14:paraId="4EB0123E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电子公告</w:t>
            </w:r>
          </w:p>
        </w:tc>
      </w:tr>
      <w:tr w14:paraId="15A97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4" w:type="dxa"/>
            <w:noWrap w:val="0"/>
            <w:vAlign w:val="top"/>
          </w:tcPr>
          <w:p w14:paraId="77BE8CA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电子文献类型标识</w:t>
            </w:r>
          </w:p>
        </w:tc>
        <w:tc>
          <w:tcPr>
            <w:tcW w:w="992" w:type="dxa"/>
            <w:noWrap w:val="0"/>
            <w:vAlign w:val="top"/>
          </w:tcPr>
          <w:p w14:paraId="34FEFB73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DB</w:t>
            </w:r>
          </w:p>
        </w:tc>
        <w:tc>
          <w:tcPr>
            <w:tcW w:w="1425" w:type="dxa"/>
            <w:noWrap w:val="0"/>
            <w:vAlign w:val="top"/>
          </w:tcPr>
          <w:p w14:paraId="0830594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CP</w:t>
            </w:r>
          </w:p>
        </w:tc>
        <w:tc>
          <w:tcPr>
            <w:tcW w:w="1279" w:type="dxa"/>
            <w:noWrap w:val="0"/>
            <w:vAlign w:val="top"/>
          </w:tcPr>
          <w:p w14:paraId="0D71000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EB</w:t>
            </w:r>
          </w:p>
        </w:tc>
      </w:tr>
    </w:tbl>
    <w:p w14:paraId="72A31CC9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电子文献的载体类型及其标识：对于非纸张型载体的电子文献，当被引用为参考文献时，需在参考文献类型标识中同时标明其载体类型，并采用双字母表示电子文献载体类型：磁带（magnetic tape）—MT，磁盘（disk）—DK，光盘（CD-ROM）—CD，联机网络（online）—OL，要以下列格式表示包括了文献载体类型的参考文献类型标识：</w:t>
      </w:r>
    </w:p>
    <w:p w14:paraId="04FB2A26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[DB/OL]—联机网上数据库（database online）</w:t>
      </w:r>
    </w:p>
    <w:p w14:paraId="72518ACB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[DB/MT]—磁带数据库（database on magnetic tape）</w:t>
      </w:r>
    </w:p>
    <w:p w14:paraId="2D1C1706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[M/CD]—光盘图书（monograph on CD-ROM）</w:t>
      </w:r>
    </w:p>
    <w:p w14:paraId="3C040E09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[CP/DK]—磁盘软件（computer program on disk）</w:t>
      </w:r>
    </w:p>
    <w:p w14:paraId="5CEE25A0">
      <w:pPr>
        <w:spacing w:line="460" w:lineRule="exact"/>
        <w:ind w:firstLine="560" w:firstLineChars="200"/>
        <w:rPr>
          <w:rFonts w:hint="eastAsia"/>
        </w:rPr>
      </w:pPr>
      <w:r>
        <w:rPr>
          <w:rFonts w:hint="eastAsia" w:ascii="仿宋_GB2312" w:eastAsia="仿宋_GB2312"/>
          <w:sz w:val="28"/>
          <w:szCs w:val="28"/>
        </w:rPr>
        <w:t>[EB/OL]—网上电子公告（electronic bulletin board online）</w:t>
      </w:r>
    </w:p>
    <w:p w14:paraId="0934CA09">
      <w:pPr>
        <w:spacing w:line="300" w:lineRule="exact"/>
        <w:ind w:firstLine="420" w:firstLineChars="200"/>
        <w:rPr>
          <w:rFonts w:hint="eastAsia"/>
        </w:rPr>
      </w:pPr>
    </w:p>
    <w:p w14:paraId="2DB12A07">
      <w:pPr>
        <w:rPr>
          <w:szCs w:val="16"/>
        </w:rPr>
      </w:pPr>
    </w:p>
    <w:p w14:paraId="749A69A0">
      <w:pPr>
        <w:jc w:val="center"/>
        <w:rPr>
          <w:rFonts w:hint="eastAsia"/>
          <w:sz w:val="15"/>
          <w:szCs w:val="18"/>
        </w:rPr>
      </w:pPr>
    </w:p>
    <w:p w14:paraId="6CEBDC04">
      <w:pPr>
        <w:jc w:val="center"/>
        <w:rPr>
          <w:rFonts w:hint="eastAsia"/>
        </w:rPr>
      </w:pPr>
    </w:p>
    <w:p w14:paraId="737219CD">
      <w:pPr>
        <w:jc w:val="center"/>
        <w:rPr>
          <w:rFonts w:hint="eastAsia"/>
        </w:rPr>
      </w:pPr>
    </w:p>
    <w:p w14:paraId="7C95F4F9">
      <w:pPr>
        <w:jc w:val="center"/>
        <w:rPr>
          <w:rFonts w:hint="eastAsia"/>
        </w:rPr>
      </w:pPr>
    </w:p>
    <w:p w14:paraId="2151F333">
      <w:pPr>
        <w:jc w:val="center"/>
        <w:rPr>
          <w:rFonts w:hint="eastAsia"/>
        </w:rPr>
      </w:pPr>
    </w:p>
    <w:p w14:paraId="247CFEA2">
      <w:pPr>
        <w:jc w:val="center"/>
        <w:rPr>
          <w:rFonts w:hint="eastAsia"/>
        </w:rPr>
      </w:pPr>
    </w:p>
    <w:p w14:paraId="709451C8">
      <w:pPr>
        <w:jc w:val="center"/>
        <w:rPr>
          <w:rFonts w:hint="eastAsia"/>
        </w:rPr>
      </w:pPr>
    </w:p>
    <w:p w14:paraId="5A9C9381">
      <w:pPr>
        <w:jc w:val="center"/>
        <w:rPr>
          <w:rFonts w:hint="eastAsia"/>
        </w:rPr>
      </w:pPr>
    </w:p>
    <w:p w14:paraId="5C27F12A">
      <w:pPr>
        <w:jc w:val="center"/>
        <w:rPr>
          <w:rFonts w:hint="eastAsia"/>
        </w:rPr>
      </w:pPr>
    </w:p>
    <w:p w14:paraId="30119932">
      <w:pPr>
        <w:jc w:val="center"/>
        <w:rPr>
          <w:rFonts w:hint="eastAsia"/>
        </w:rPr>
      </w:pPr>
    </w:p>
    <w:p w14:paraId="2F4A1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 w:ascii="宋体" w:hAnsi="宋体"/>
          <w:b/>
          <w:bCs/>
          <w:sz w:val="18"/>
          <w:szCs w:val="1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附件2：</w:t>
      </w:r>
    </w:p>
    <w:p w14:paraId="360D3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4" w:firstLineChars="151"/>
        <w:jc w:val="center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教育技术论文活动推荐标准</w:t>
      </w:r>
    </w:p>
    <w:tbl>
      <w:tblPr>
        <w:tblStyle w:val="11"/>
        <w:tblW w:w="8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6845"/>
        <w:gridCol w:w="789"/>
      </w:tblGrid>
      <w:tr w14:paraId="7C849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242" w:type="dxa"/>
            <w:noWrap w:val="0"/>
            <w:vAlign w:val="top"/>
          </w:tcPr>
          <w:p w14:paraId="11B889AB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类别</w:t>
            </w:r>
          </w:p>
        </w:tc>
        <w:tc>
          <w:tcPr>
            <w:tcW w:w="6845" w:type="dxa"/>
            <w:noWrap w:val="0"/>
            <w:vAlign w:val="top"/>
          </w:tcPr>
          <w:p w14:paraId="6D868528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标准（满分100分）</w:t>
            </w:r>
          </w:p>
        </w:tc>
        <w:tc>
          <w:tcPr>
            <w:tcW w:w="789" w:type="dxa"/>
            <w:noWrap w:val="0"/>
            <w:vAlign w:val="top"/>
          </w:tcPr>
          <w:p w14:paraId="3E5A0C9F">
            <w:pPr>
              <w:spacing w:line="42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权重</w:t>
            </w:r>
          </w:p>
        </w:tc>
      </w:tr>
      <w:tr w14:paraId="5F58D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0D3954EF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价值性</w:t>
            </w:r>
          </w:p>
        </w:tc>
        <w:tc>
          <w:tcPr>
            <w:tcW w:w="6845" w:type="dxa"/>
            <w:noWrap w:val="0"/>
            <w:vAlign w:val="center"/>
          </w:tcPr>
          <w:p w14:paraId="2F1EE2D0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1.选题价值：论文选题紧密围绕活动主题，结合自己的教育教学实际情况，体现当前新课程改革的相关要求，突出教育数字化创新应用，</w:t>
            </w:r>
            <w:r>
              <w:rPr>
                <w:rFonts w:hint="eastAsia" w:ascii="仿宋_GB2312" w:hAnsi="宋体" w:eastAsia="仿宋_GB2312"/>
                <w:sz w:val="24"/>
              </w:rPr>
              <w:t>具有重要的实践指导价值和可推广价值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770A229C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30分</w:t>
            </w:r>
          </w:p>
        </w:tc>
      </w:tr>
      <w:tr w14:paraId="22790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242" w:type="dxa"/>
            <w:vMerge w:val="continue"/>
            <w:noWrap w:val="0"/>
            <w:vAlign w:val="top"/>
          </w:tcPr>
          <w:p w14:paraId="31CDDB7C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9E41AF4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2.应用价值：论文观点鲜明，围绕教育数字化的理论与实践问题提出切实有效的解决措施，重在解决实际问题，具有启发性和可借鉴价值。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5850A58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6532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1909A396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科学性</w:t>
            </w:r>
          </w:p>
        </w:tc>
        <w:tc>
          <w:tcPr>
            <w:tcW w:w="6845" w:type="dxa"/>
            <w:noWrap w:val="0"/>
            <w:vAlign w:val="center"/>
          </w:tcPr>
          <w:p w14:paraId="1B8A3E4A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1.论点正确，符合实际，表述准确。</w:t>
            </w:r>
            <w:r>
              <w:rPr>
                <w:rFonts w:hint="eastAsia" w:ascii="仿宋_GB2312" w:hAnsi="宋体" w:eastAsia="仿宋_GB2312"/>
                <w:sz w:val="24"/>
              </w:rPr>
              <w:t xml:space="preserve"> 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7E70AD76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20分</w:t>
            </w:r>
          </w:p>
        </w:tc>
      </w:tr>
      <w:tr w14:paraId="0927E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181D9ED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4F88CFC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2.论据科学、稳定、严密；实验及调查数据准确可靠，符合教学规律，没有不确定、猜测性的内容。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08B3507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563C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67B51C11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6D335882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3.研究方法科学，资料数据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翔实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，推理严密，统计分析正确。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501851E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EB75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3BA7AED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创新性</w:t>
            </w:r>
          </w:p>
        </w:tc>
        <w:tc>
          <w:tcPr>
            <w:tcW w:w="6845" w:type="dxa"/>
            <w:noWrap w:val="0"/>
            <w:vAlign w:val="center"/>
          </w:tcPr>
          <w:p w14:paraId="4684C9BB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1.理论创新：结合当前教育数字化的理论研究进展，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提出新的教育思想、方法和手段，对已有的数字教育理论进行科学的修正和补充，</w:t>
            </w:r>
            <w:r>
              <w:rPr>
                <w:rFonts w:hint="eastAsia" w:ascii="仿宋_GB2312" w:hAnsi="宋体" w:eastAsia="仿宋_GB2312"/>
                <w:sz w:val="24"/>
              </w:rPr>
              <w:t>而不是对已有研究结论的再次论证。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2BF45A88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30分</w:t>
            </w:r>
          </w:p>
        </w:tc>
      </w:tr>
      <w:tr w14:paraId="31F2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6FD74D9E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2CB84AD1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2.实践创新：在数字教育应用实践方面取得创新的进展或突破，有新思考、新方法、新策略、新探索。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64C376D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897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56519B8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50F67B6A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3.研究方法创新：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用新的方法进行探索和研究；对已有的方法进行科学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的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修正和补充。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40C9BC11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8CC9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242" w:type="dxa"/>
            <w:vMerge w:val="restart"/>
            <w:noWrap w:val="0"/>
            <w:vAlign w:val="center"/>
          </w:tcPr>
          <w:p w14:paraId="18469D76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规范性</w:t>
            </w:r>
          </w:p>
        </w:tc>
        <w:tc>
          <w:tcPr>
            <w:tcW w:w="6845" w:type="dxa"/>
            <w:noWrap w:val="0"/>
            <w:vAlign w:val="center"/>
          </w:tcPr>
          <w:p w14:paraId="37948665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1.文章体例严谨（有关键词、摘要、正文和参考文献等，篇幅5</w:t>
            </w:r>
            <w:r>
              <w:rPr>
                <w:rFonts w:ascii="仿宋_GB2312" w:hAnsi="宋体" w:eastAsia="仿宋_GB2312"/>
                <w:sz w:val="24"/>
              </w:rPr>
              <w:t>000</w:t>
            </w:r>
            <w:r>
              <w:rPr>
                <w:rFonts w:hint="eastAsia" w:ascii="仿宋_GB2312" w:hAnsi="宋体" w:eastAsia="仿宋_GB2312"/>
                <w:sz w:val="24"/>
              </w:rPr>
              <w:t>～8000字），论述严谨，逻辑性强。</w:t>
            </w:r>
          </w:p>
        </w:tc>
        <w:tc>
          <w:tcPr>
            <w:tcW w:w="789" w:type="dxa"/>
            <w:vMerge w:val="restart"/>
            <w:noWrap w:val="0"/>
            <w:vAlign w:val="center"/>
          </w:tcPr>
          <w:p w14:paraId="2819930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20分</w:t>
            </w:r>
          </w:p>
        </w:tc>
      </w:tr>
      <w:tr w14:paraId="7486B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7AA8A319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395F8CF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2.概念表述清晰准确。 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0CE4DB77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5DC9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24422BF7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74E83344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3.内容和纲要切题，</w:t>
            </w:r>
            <w:r>
              <w:rPr>
                <w:rFonts w:hint="eastAsia" w:ascii="仿宋_GB2312" w:hAnsi="宋体" w:eastAsia="仿宋_GB2312"/>
                <w:sz w:val="24"/>
              </w:rPr>
              <w:t>引用规范，图表制作精确。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41EA56DA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6942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242" w:type="dxa"/>
            <w:vMerge w:val="continue"/>
            <w:noWrap w:val="0"/>
            <w:vAlign w:val="center"/>
          </w:tcPr>
          <w:p w14:paraId="72C4AFED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6845" w:type="dxa"/>
            <w:noWrap w:val="0"/>
            <w:vAlign w:val="center"/>
          </w:tcPr>
          <w:p w14:paraId="2C6E9149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4.无知识性和常识性错误，文笔流畅，文字优美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，</w:t>
            </w:r>
            <w:r>
              <w:rPr>
                <w:rFonts w:hint="eastAsia" w:ascii="仿宋_GB2312" w:hAnsi="宋体" w:eastAsia="仿宋_GB2312"/>
                <w:sz w:val="24"/>
              </w:rPr>
              <w:t>可读性强。</w:t>
            </w:r>
          </w:p>
        </w:tc>
        <w:tc>
          <w:tcPr>
            <w:tcW w:w="789" w:type="dxa"/>
            <w:vMerge w:val="continue"/>
            <w:noWrap w:val="0"/>
            <w:vAlign w:val="center"/>
          </w:tcPr>
          <w:p w14:paraId="65249190">
            <w:pPr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2A52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242" w:type="dxa"/>
            <w:noWrap w:val="0"/>
            <w:vAlign w:val="center"/>
          </w:tcPr>
          <w:p w14:paraId="6B5E5014">
            <w:pPr>
              <w:spacing w:line="42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实践性</w:t>
            </w:r>
          </w:p>
        </w:tc>
        <w:tc>
          <w:tcPr>
            <w:tcW w:w="6845" w:type="dxa"/>
            <w:noWrap w:val="0"/>
            <w:vAlign w:val="center"/>
          </w:tcPr>
          <w:p w14:paraId="280176E4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教师能够结合教育教学实际，充分利用数字教育资源、产品（如“和教育”教育产品等）以及智慧教育平台（如“和教育”平台等）进行论文创作。如有使用国家中小学智慧教育平台、探索平台应用、实现教学创新，可作为论文亮点进行加分。</w:t>
            </w:r>
          </w:p>
        </w:tc>
        <w:tc>
          <w:tcPr>
            <w:tcW w:w="789" w:type="dxa"/>
            <w:noWrap w:val="0"/>
            <w:vAlign w:val="center"/>
          </w:tcPr>
          <w:p w14:paraId="213B1550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附加分</w:t>
            </w:r>
          </w:p>
          <w:p w14:paraId="05EE4C7D">
            <w:pPr>
              <w:widowControl/>
              <w:spacing w:line="420" w:lineRule="exact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5分</w:t>
            </w:r>
          </w:p>
        </w:tc>
      </w:tr>
    </w:tbl>
    <w:p w14:paraId="03865EA4">
      <w:pPr>
        <w:spacing w:line="460" w:lineRule="exact"/>
      </w:pP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</w:rPr>
        <w:t>注：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  <w:lang w:val="en-US" w:eastAsia="zh-CN"/>
        </w:rPr>
        <w:t>未附查重报告、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</w:rPr>
        <w:t>重复率超过要求和人工智能技术生成的论文，取消推荐资格。</w:t>
      </w:r>
      <w:r>
        <w:rPr>
          <w:rFonts w:hint="eastAsia" w:ascii="仿宋_GB2312" w:hAnsi="Times New Romans" w:eastAsia="仿宋_GB2312" w:cs="仿宋_GB2312"/>
          <w:color w:val="000000"/>
          <w:spacing w:val="-20"/>
          <w:szCs w:val="21"/>
          <w:lang w:val="en-US" w:eastAsia="zh-CN"/>
        </w:rPr>
        <w:t xml:space="preserve">  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2EC38C"/>
    <w:multiLevelType w:val="singleLevel"/>
    <w:tmpl w:val="212EC38C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7233CD49"/>
    <w:multiLevelType w:val="singleLevel"/>
    <w:tmpl w:val="7233CD4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7694BBFA"/>
    <w:multiLevelType w:val="singleLevel"/>
    <w:tmpl w:val="7694BBF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78200F20"/>
    <w:multiLevelType w:val="singleLevel"/>
    <w:tmpl w:val="78200F2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仿宋_GB2312" w:hAnsi="仿宋_GB2312" w:eastAsia="仿宋_GB2312" w:cs="仿宋_GB2312"/>
        <w:sz w:val="32"/>
        <w:szCs w:val="32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33F28"/>
    <w:rsid w:val="00A61BF4"/>
    <w:rsid w:val="00BF79F5"/>
    <w:rsid w:val="013138ED"/>
    <w:rsid w:val="02363044"/>
    <w:rsid w:val="03B2698C"/>
    <w:rsid w:val="06135CB3"/>
    <w:rsid w:val="0902043D"/>
    <w:rsid w:val="09C877CB"/>
    <w:rsid w:val="0AA957DD"/>
    <w:rsid w:val="0C565F15"/>
    <w:rsid w:val="0EA41EB5"/>
    <w:rsid w:val="0EF652A0"/>
    <w:rsid w:val="0F8B0B9B"/>
    <w:rsid w:val="10CF4BB9"/>
    <w:rsid w:val="130C25E4"/>
    <w:rsid w:val="13314807"/>
    <w:rsid w:val="152C64B6"/>
    <w:rsid w:val="1E004579"/>
    <w:rsid w:val="1E2F3219"/>
    <w:rsid w:val="1F242A63"/>
    <w:rsid w:val="20ED0D40"/>
    <w:rsid w:val="221B31F4"/>
    <w:rsid w:val="278A6B9A"/>
    <w:rsid w:val="296D5306"/>
    <w:rsid w:val="2D2B7225"/>
    <w:rsid w:val="2DF271BE"/>
    <w:rsid w:val="2E114AFB"/>
    <w:rsid w:val="2E8C781E"/>
    <w:rsid w:val="38864A91"/>
    <w:rsid w:val="38951732"/>
    <w:rsid w:val="3B7F2EAE"/>
    <w:rsid w:val="3D5026AD"/>
    <w:rsid w:val="440537C7"/>
    <w:rsid w:val="49B74506"/>
    <w:rsid w:val="4AD70EDF"/>
    <w:rsid w:val="4F787315"/>
    <w:rsid w:val="4F9A6285"/>
    <w:rsid w:val="553926A7"/>
    <w:rsid w:val="5B940305"/>
    <w:rsid w:val="5D057357"/>
    <w:rsid w:val="60C4350D"/>
    <w:rsid w:val="62CA2201"/>
    <w:rsid w:val="65D027F8"/>
    <w:rsid w:val="680B7E6D"/>
    <w:rsid w:val="68B722A8"/>
    <w:rsid w:val="6AD51639"/>
    <w:rsid w:val="739D6011"/>
    <w:rsid w:val="73D82B6C"/>
    <w:rsid w:val="77B96E10"/>
    <w:rsid w:val="787B62A4"/>
    <w:rsid w:val="7A8A05C1"/>
    <w:rsid w:val="7D390A95"/>
    <w:rsid w:val="7FC8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styleId="13">
    <w:name w:val="Hyperlink"/>
    <w:qFormat/>
    <w:uiPriority w:val="0"/>
    <w:rPr>
      <w:color w:val="0000FF"/>
      <w:u w:val="single"/>
    </w:rPr>
  </w:style>
  <w:style w:type="character" w:customStyle="1" w:styleId="14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4623</Words>
  <Characters>5031</Characters>
  <Lines>0</Lines>
  <Paragraphs>0</Paragraphs>
  <TotalTime>8</TotalTime>
  <ScaleCrop>false</ScaleCrop>
  <LinksUpToDate>false</LinksUpToDate>
  <CharactersWithSpaces>5063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Yellow-Nils</cp:lastModifiedBy>
  <dcterms:modified xsi:type="dcterms:W3CDTF">2025-04-22T10:12:44Z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1EF9A7FBA6224A36B0D34E2577DBA6EA_13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