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spacing w:beforeAutospacing="0" w:afterAutospacing="0" w:line="560" w:lineRule="exact"/>
        <w:jc w:val="both"/>
        <w:textAlignment w:val="auto"/>
        <w:rPr>
          <w:rFonts w:hint="eastAsia" w:ascii="黑体" w:hAnsi="黑体" w:eastAsia="黑体" w:cs="黑体"/>
          <w:b w:val="0"/>
          <w:bCs w:val="0"/>
          <w:sz w:val="32"/>
          <w:szCs w:val="32"/>
          <w:lang w:val="en-US" w:eastAsia="zh-CN"/>
        </w:rPr>
      </w:pPr>
      <w:bookmarkStart w:id="0" w:name="_Toc1867433128"/>
      <w:bookmarkStart w:id="1" w:name="_Toc16888352"/>
      <w:bookmarkStart w:id="2" w:name="_Toc196938106"/>
      <w:bookmarkStart w:id="3" w:name="_Toc298418775"/>
      <w:bookmarkStart w:id="4" w:name="_Toc370108053"/>
      <w:bookmarkStart w:id="5" w:name="_Toc33691080"/>
      <w:r>
        <w:rPr>
          <w:rFonts w:hint="eastAsia" w:ascii="黑体" w:hAnsi="黑体" w:eastAsia="黑体" w:cs="黑体"/>
          <w:b w:val="0"/>
          <w:bCs w:val="0"/>
          <w:sz w:val="32"/>
          <w:szCs w:val="32"/>
          <w:lang w:eastAsia="zh-CN"/>
        </w:rPr>
        <w:t>附件</w:t>
      </w:r>
      <w:r>
        <w:rPr>
          <w:rFonts w:hint="eastAsia" w:ascii="黑体" w:hAnsi="黑体" w:eastAsia="黑体" w:cs="黑体"/>
          <w:b w:val="0"/>
          <w:bCs w:val="0"/>
          <w:sz w:val="32"/>
          <w:szCs w:val="32"/>
          <w:lang w:val="en-US" w:eastAsia="zh-CN"/>
        </w:rPr>
        <w:t>1</w:t>
      </w:r>
    </w:p>
    <w:p>
      <w:pPr>
        <w:keepNext w:val="0"/>
        <w:keepLines w:val="0"/>
        <w:pageBreakBefore w:val="0"/>
        <w:widowControl w:val="0"/>
        <w:kinsoku/>
        <w:wordWrap/>
        <w:overflowPunct/>
        <w:topLinePunct w:val="0"/>
        <w:autoSpaceDE/>
        <w:autoSpaceDN/>
        <w:bidi w:val="0"/>
        <w:spacing w:line="560" w:lineRule="exact"/>
        <w:textAlignment w:val="auto"/>
        <w:rPr>
          <w:rFonts w:hint="eastAsia"/>
          <w:lang w:eastAsia="zh-CN"/>
        </w:rPr>
      </w:pPr>
    </w:p>
    <w:p>
      <w:pPr>
        <w:pStyle w:val="3"/>
        <w:keepNext w:val="0"/>
        <w:keepLines w:val="0"/>
        <w:pageBreakBefore w:val="0"/>
        <w:widowControl w:val="0"/>
        <w:kinsoku/>
        <w:wordWrap/>
        <w:overflowPunct/>
        <w:topLinePunct w:val="0"/>
        <w:autoSpaceDE/>
        <w:autoSpaceDN/>
        <w:bidi w:val="0"/>
        <w:spacing w:beforeAutospacing="0" w:afterAutospacing="0"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第</w:t>
      </w:r>
      <w:r>
        <w:rPr>
          <w:rFonts w:hint="eastAsia" w:ascii="方正小标宋_GBK" w:hAnsi="方正小标宋_GBK" w:eastAsia="方正小标宋_GBK" w:cs="方正小标宋_GBK"/>
          <w:b w:val="0"/>
          <w:bCs w:val="0"/>
          <w:sz w:val="44"/>
          <w:szCs w:val="44"/>
          <w:lang w:val="en-US" w:eastAsia="zh-CN"/>
        </w:rPr>
        <w:t>九</w:t>
      </w:r>
      <w:r>
        <w:rPr>
          <w:rFonts w:hint="eastAsia" w:ascii="方正小标宋_GBK" w:hAnsi="方正小标宋_GBK" w:eastAsia="方正小标宋_GBK" w:cs="方正小标宋_GBK"/>
          <w:b w:val="0"/>
          <w:bCs w:val="0"/>
          <w:sz w:val="44"/>
          <w:szCs w:val="44"/>
        </w:rPr>
        <w:t>届</w:t>
      </w:r>
      <w:r>
        <w:rPr>
          <w:rFonts w:hint="eastAsia" w:ascii="方正小标宋_GBK" w:hAnsi="方正小标宋_GBK" w:eastAsia="方正小标宋_GBK" w:cs="方正小标宋_GBK"/>
          <w:b w:val="0"/>
          <w:bCs w:val="0"/>
          <w:sz w:val="44"/>
          <w:szCs w:val="44"/>
          <w:lang w:eastAsia="zh-CN"/>
        </w:rPr>
        <w:t>全国</w:t>
      </w:r>
      <w:r>
        <w:rPr>
          <w:rFonts w:hint="eastAsia" w:ascii="方正小标宋_GBK" w:hAnsi="方正小标宋_GBK" w:eastAsia="方正小标宋_GBK" w:cs="方正小标宋_GBK"/>
          <w:b w:val="0"/>
          <w:bCs w:val="0"/>
          <w:sz w:val="44"/>
          <w:szCs w:val="44"/>
        </w:rPr>
        <w:t>学生“学宪法 讲宪法”活动</w:t>
      </w:r>
      <w:bookmarkEnd w:id="0"/>
      <w:bookmarkEnd w:id="1"/>
      <w:bookmarkEnd w:id="2"/>
      <w:bookmarkEnd w:id="3"/>
      <w:bookmarkEnd w:id="4"/>
      <w:bookmarkStart w:id="6" w:name="_Toc666447515"/>
      <w:bookmarkStart w:id="7" w:name="_Toc475081391"/>
      <w:bookmarkStart w:id="8" w:name="_Toc1150035680"/>
      <w:bookmarkStart w:id="9" w:name="_Toc374690660"/>
      <w:bookmarkStart w:id="10" w:name="_Toc1293405059"/>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宁夏</w:t>
      </w:r>
      <w:bookmarkEnd w:id="5"/>
      <w:bookmarkEnd w:id="6"/>
      <w:bookmarkEnd w:id="7"/>
      <w:bookmarkEnd w:id="8"/>
      <w:bookmarkEnd w:id="9"/>
      <w:bookmarkEnd w:id="10"/>
      <w:r>
        <w:rPr>
          <w:rFonts w:hint="eastAsia" w:ascii="方正小标宋_GBK" w:hAnsi="方正小标宋_GBK" w:eastAsia="方正小标宋_GBK" w:cs="方正小标宋_GBK"/>
          <w:b w:val="0"/>
          <w:bCs w:val="0"/>
          <w:sz w:val="44"/>
          <w:szCs w:val="44"/>
          <w:lang w:val="en-US" w:eastAsia="zh-CN"/>
        </w:rPr>
        <w:t>赛区赛制安排</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720" w:firstLineChars="200"/>
        <w:textAlignment w:val="auto"/>
        <w:outlineLvl w:val="1"/>
        <w:rPr>
          <w:rFonts w:hint="eastAsia" w:ascii="方正小标宋_GBK" w:hAnsi="方正小标宋_GBK" w:eastAsia="方正小标宋_GBK" w:cs="方正小标宋_GBK"/>
          <w:b w:val="0"/>
          <w:bCs w:val="0"/>
          <w:sz w:val="36"/>
          <w:szCs w:val="36"/>
          <w:lang w:val="en-US" w:eastAsia="zh-CN"/>
        </w:rPr>
      </w:pPr>
      <w:bookmarkStart w:id="11" w:name="_Toc348738991"/>
      <w:bookmarkStart w:id="12" w:name="_Toc1429351679"/>
      <w:bookmarkStart w:id="13" w:name="_Toc33691081"/>
      <w:bookmarkStart w:id="14" w:name="_Toc1856165500"/>
      <w:bookmarkStart w:id="15" w:name="_Toc1003869616"/>
      <w:bookmarkStart w:id="16" w:name="_Toc1296850760"/>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、参赛范围</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初赛由各市、县（区）教育局、各高校自行组织，复赛由教育厅统一组织。复赛</w:t>
      </w:r>
      <w:r>
        <w:rPr>
          <w:rFonts w:hint="eastAsia" w:ascii="仿宋_GB2312" w:hAnsi="仿宋_GB2312" w:eastAsia="仿宋_GB2312" w:cs="仿宋_GB2312"/>
          <w:sz w:val="32"/>
          <w:szCs w:val="32"/>
        </w:rPr>
        <w:t>分为小学组、初中组、</w:t>
      </w:r>
      <w:r>
        <w:rPr>
          <w:rFonts w:hint="default" w:ascii="Times New Roman" w:hAnsi="Times New Roman" w:eastAsia="仿宋_GB2312" w:cs="Times New Roman"/>
          <w:sz w:val="32"/>
          <w:szCs w:val="32"/>
        </w:rPr>
        <w:t>高中</w:t>
      </w:r>
      <w:r>
        <w:rPr>
          <w:rFonts w:hint="eastAsia" w:ascii="Times New Roman" w:hAnsi="Times New Roman" w:eastAsia="仿宋_GB2312" w:cs="Times New Roman"/>
          <w:sz w:val="32"/>
          <w:szCs w:val="32"/>
          <w:lang w:eastAsia="zh-CN"/>
        </w:rPr>
        <w:t>组（</w:t>
      </w:r>
      <w:r>
        <w:rPr>
          <w:rFonts w:hint="default" w:ascii="Times New Roman" w:hAnsi="Times New Roman" w:eastAsia="仿宋_GB2312" w:cs="Times New Roman"/>
          <w:sz w:val="32"/>
          <w:szCs w:val="32"/>
        </w:rPr>
        <w:t>含中等职业学校</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高校组（</w:t>
      </w:r>
      <w:r>
        <w:rPr>
          <w:rFonts w:hint="default" w:ascii="Times New Roman" w:hAnsi="Times New Roman" w:eastAsia="仿宋_GB2312" w:cs="Times New Roman"/>
          <w:sz w:val="32"/>
          <w:szCs w:val="32"/>
        </w:rPr>
        <w:t>含本专科学生和研究生</w:t>
      </w:r>
      <w:r>
        <w:rPr>
          <w:rFonts w:hint="eastAsia" w:ascii="Times New Roman" w:hAnsi="Times New Roman" w:eastAsia="仿宋_GB2312" w:cs="Times New Roman"/>
          <w:sz w:val="32"/>
          <w:szCs w:val="32"/>
          <w:lang w:eastAsia="zh-CN"/>
        </w:rPr>
        <w:t>）</w:t>
      </w:r>
      <w:r>
        <w:rPr>
          <w:rFonts w:hint="eastAsia" w:ascii="仿宋_GB2312" w:hAnsi="仿宋_GB2312" w:eastAsia="仿宋_GB2312" w:cs="仿宋_GB2312"/>
          <w:sz w:val="32"/>
          <w:szCs w:val="32"/>
        </w:rPr>
        <w:t>4个组别。参赛学生应当为全日制正式学籍的在校生</w:t>
      </w:r>
      <w:bookmarkStart w:id="29" w:name="_GoBack"/>
      <w:bookmarkEnd w:id="29"/>
      <w:r>
        <w:rPr>
          <w:rFonts w:hint="eastAsia" w:ascii="仿宋_GB2312" w:hAnsi="仿宋_GB2312" w:eastAsia="仿宋_GB2312" w:cs="仿宋_GB2312"/>
          <w:sz w:val="32"/>
          <w:szCs w:val="32"/>
        </w:rPr>
        <w:t>，所在学段以202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年9月以后为准。为推动活动广泛参与，参加过往届</w:t>
      </w:r>
      <w:r>
        <w:rPr>
          <w:rFonts w:hint="eastAsia" w:ascii="仿宋_GB2312" w:hAnsi="仿宋_GB2312" w:eastAsia="仿宋_GB2312" w:cs="仿宋_GB2312"/>
          <w:sz w:val="32"/>
          <w:szCs w:val="32"/>
          <w:lang w:val="en-US" w:eastAsia="zh-CN"/>
        </w:rPr>
        <w:t>全国或</w:t>
      </w:r>
      <w:r>
        <w:rPr>
          <w:rFonts w:hint="eastAsia" w:ascii="仿宋_GB2312" w:hAnsi="仿宋_GB2312" w:eastAsia="仿宋_GB2312" w:cs="仿宋_GB2312"/>
          <w:sz w:val="32"/>
          <w:szCs w:val="32"/>
        </w:rPr>
        <w:t>全</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rPr>
        <w:t>学生“学宪法 讲宪法”活动并获得</w:t>
      </w:r>
      <w:r>
        <w:rPr>
          <w:rFonts w:hint="eastAsia" w:ascii="仿宋_GB2312" w:hAnsi="仿宋_GB2312" w:eastAsia="仿宋_GB2312" w:cs="仿宋_GB2312"/>
          <w:sz w:val="32"/>
          <w:szCs w:val="32"/>
          <w:lang w:val="en-US" w:eastAsia="zh-CN"/>
        </w:rPr>
        <w:t>全国或</w:t>
      </w:r>
      <w:r>
        <w:rPr>
          <w:rFonts w:hint="eastAsia" w:ascii="仿宋_GB2312" w:hAnsi="仿宋_GB2312" w:eastAsia="仿宋_GB2312" w:cs="仿宋_GB2312"/>
          <w:sz w:val="32"/>
          <w:szCs w:val="32"/>
        </w:rPr>
        <w:t>全</w:t>
      </w:r>
      <w:r>
        <w:rPr>
          <w:rFonts w:hint="eastAsia"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rPr>
        <w:t>总决赛个人赛或团队赛冠亚季军的学生，不再参加本学段的</w:t>
      </w:r>
      <w:r>
        <w:rPr>
          <w:rFonts w:hint="eastAsia" w:ascii="仿宋_GB2312" w:hAnsi="仿宋_GB2312" w:eastAsia="仿宋_GB2312" w:cs="仿宋_GB2312"/>
          <w:sz w:val="32"/>
          <w:szCs w:val="32"/>
          <w:lang w:eastAsia="zh-CN"/>
        </w:rPr>
        <w:t>比赛</w:t>
      </w:r>
      <w:r>
        <w:rPr>
          <w:rFonts w:hint="eastAsia" w:ascii="仿宋_GB2312" w:hAnsi="仿宋_GB2312" w:eastAsia="仿宋_GB2312" w:cs="仿宋_GB2312"/>
          <w:sz w:val="32"/>
          <w:szCs w:val="32"/>
        </w:rPr>
        <w:t>。</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二、比赛安排</w:t>
      </w:r>
      <w:bookmarkEnd w:id="11"/>
      <w:bookmarkEnd w:id="12"/>
      <w:bookmarkEnd w:id="13"/>
      <w:bookmarkEnd w:id="14"/>
      <w:bookmarkEnd w:id="15"/>
      <w:bookmarkEnd w:id="16"/>
      <w:r>
        <w:rPr>
          <w:rFonts w:hint="eastAsia" w:ascii="黑体" w:hAnsi="黑体" w:eastAsia="黑体" w:cs="黑体"/>
          <w:b w:val="0"/>
          <w:bCs w:val="0"/>
          <w:sz w:val="32"/>
          <w:szCs w:val="32"/>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方正楷体_GBK" w:hAnsi="方正楷体_GBK" w:eastAsia="方正楷体_GBK" w:cs="方正楷体_GBK"/>
          <w:b w:val="0"/>
          <w:bCs w:val="0"/>
          <w:kern w:val="2"/>
          <w:sz w:val="32"/>
          <w:szCs w:val="32"/>
          <w:lang w:val="en-US" w:eastAsia="zh-CN" w:bidi="ar-SA"/>
        </w:rPr>
        <w:t>（一）初赛安排</w:t>
      </w:r>
      <w:r>
        <w:rPr>
          <w:rFonts w:hint="eastAsia" w:ascii="仿宋_GB2312" w:hAnsi="仿宋_GB2312" w:eastAsia="仿宋_GB2312" w:cs="仿宋_GB2312"/>
          <w:kern w:val="2"/>
          <w:sz w:val="32"/>
          <w:szCs w:val="32"/>
          <w:lang w:val="en-US" w:eastAsia="zh-CN" w:bidi="ar-SA"/>
        </w:rPr>
        <w:t>（9月15日截止）</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各市、县（区）教育局组织辖区内所有学校开展演讲比赛和素养竞赛。按照小学、初中、高中3个组别，演讲比赛各遴选1名优秀学生，制作以“学宪法 讲宪法”为主题的个人演讲视频光盘（不超过6分钟），填写复赛选手登记表（附件2），报送表格纸质版及电子版参加演讲比赛自治区级复赛；素养竞赛各遴选出1名优秀学生，填写素养竞赛复赛选手登记表（附件3），报送表格纸质版及电子版参加自治区级素养竞赛复赛。</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厅直属各中小学、各高校自行组织演讲比赛和素养竞赛，演讲比赛遴选1名优秀学生，制作以“学宪法 讲宪法”为主题的个人演讲视频光盘（不超过6分钟），填写演讲比赛复赛选手登记表（附件2）；素养竞赛遴选1名优秀学生，填写素养竞赛复赛选手登记表（附件3）。</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个人演讲视频要求：（1）视频格式须为MP4视频文件，视频画面的比例要求为16:9，大小为10MB—100MB，分辨率建议为720P及以上。（2）视频内不得包含任何形式的广告、与本活动无关的商业内容及其他外部链接等。（3）提交视频时，请同时上传与演讲内容完全一致的演讲稿件（格式为doc或docx）。演讲视频光盘和登记表邮寄地址：宁夏回族自治区银川市西夏区文昌北街204号北方民族大学，田老师（收），电话： 14795007768（微信同号）。</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方正楷体_GBK" w:hAnsi="方正楷体_GBK" w:eastAsia="方正楷体_GBK" w:cs="方正楷体_GBK"/>
          <w:b w:val="0"/>
          <w:bCs w:val="0"/>
          <w:kern w:val="2"/>
          <w:sz w:val="32"/>
          <w:szCs w:val="32"/>
          <w:lang w:val="en-US" w:eastAsia="zh-CN" w:bidi="ar-SA"/>
        </w:rPr>
        <w:t>（二）复赛安排</w:t>
      </w:r>
      <w:r>
        <w:rPr>
          <w:rFonts w:hint="eastAsia" w:ascii="仿宋_GB2312" w:hAnsi="仿宋_GB2312" w:eastAsia="仿宋_GB2312" w:cs="仿宋_GB2312"/>
          <w:kern w:val="2"/>
          <w:sz w:val="32"/>
          <w:szCs w:val="32"/>
          <w:lang w:val="en-US" w:eastAsia="zh-CN" w:bidi="ar-SA"/>
        </w:rPr>
        <w:t>（拟定于2024年9月26日-9月27日，其中9月26日上午报到，9月26日下午、9月27日全天比赛）</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3"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1.演讲比赛</w:t>
      </w:r>
      <w:r>
        <w:rPr>
          <w:rFonts w:hint="eastAsia" w:ascii="仿宋_GB2312" w:hAnsi="仿宋_GB2312" w:eastAsia="仿宋_GB2312" w:cs="仿宋_GB2312"/>
          <w:sz w:val="32"/>
          <w:szCs w:val="32"/>
          <w:lang w:val="en-US" w:eastAsia="zh-CN"/>
        </w:rPr>
        <w:t>：教育厅政策法规处对各地各校报送的演讲视频光盘进行汇总，由承办单位北方民族大学法学院组织专家对参赛选手视频进行评分，根据专家打分进行综合考量，从小学组、初中组、高中组及高校组四个组别共评选24名选手进入复赛，由北方民族大学组织演讲比赛复赛，专家现场打分并综合考量，从小学组、初中组、高中组及高校组四个组别评选一等奖1名、二等奖2名、三等奖3名，各组别一等奖选手代表自治区参加全国总决赛。</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3"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2.素养竞赛</w:t>
      </w:r>
      <w:r>
        <w:rPr>
          <w:rFonts w:hint="eastAsia" w:ascii="仿宋_GB2312" w:hAnsi="仿宋_GB2312" w:eastAsia="仿宋_GB2312" w:cs="仿宋_GB2312"/>
          <w:sz w:val="32"/>
          <w:szCs w:val="32"/>
          <w:lang w:val="en-US" w:eastAsia="zh-CN"/>
        </w:rPr>
        <w:t>：教育厅政策法规处对各地各校报送的素养竞赛复赛选手登记表进行汇总，由承办单位北方民族大学法学院按组别进行笔试（笔试时间拟定于9月26日下午笔试，9月27日组织团队赛），依据第一轮笔试和第二轮团队赛结果，从小学组、初中组、高中组及高校组四个组别评选一等奖1名、二等奖2名、三等奖3名，各组别的一等奖选手代表自治区参加全国总决赛。</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黑体" w:hAnsi="黑体" w:eastAsia="黑体" w:cs="黑体"/>
          <w:b w:val="0"/>
          <w:bCs w:val="0"/>
          <w:sz w:val="32"/>
          <w:szCs w:val="32"/>
          <w:lang w:val="en-US" w:eastAsia="zh-CN"/>
        </w:rPr>
      </w:pPr>
      <w:bookmarkStart w:id="17" w:name="_Toc639207612"/>
      <w:bookmarkStart w:id="18" w:name="_Toc1874258548"/>
      <w:bookmarkStart w:id="19" w:name="_Toc1121381880"/>
      <w:bookmarkStart w:id="20" w:name="_Toc718077645"/>
      <w:bookmarkStart w:id="21" w:name="_Toc1106855074"/>
      <w:bookmarkStart w:id="22" w:name="_Toc33691083"/>
      <w:r>
        <w:rPr>
          <w:rFonts w:hint="eastAsia" w:ascii="黑体" w:hAnsi="黑体" w:eastAsia="黑体" w:cs="黑体"/>
          <w:b w:val="0"/>
          <w:bCs w:val="0"/>
          <w:sz w:val="32"/>
          <w:szCs w:val="32"/>
          <w:lang w:val="en-US" w:eastAsia="zh-CN"/>
        </w:rPr>
        <w:t>三、演讲比赛复赛赛制</w:t>
      </w:r>
      <w:bookmarkEnd w:id="17"/>
      <w:bookmarkEnd w:id="18"/>
      <w:bookmarkEnd w:id="19"/>
      <w:bookmarkEnd w:id="20"/>
      <w:bookmarkEnd w:id="21"/>
      <w:bookmarkEnd w:id="22"/>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演讲比赛以个人为单位进行，比赛第一轮为主题演讲，第二轮为命题演讲。按照小学组、初中组、高中组和高校组学段进行。</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学生应当独立完成演讲，不可使用PPT、音乐、虚拟背景或视频等多媒体素材，不可使用其他任何辅助道具或器材。演讲体裁不限，鼓励学生运用朴实生动鲜活的语言，讲述真情实感，展现个性风采，避免模式化与形式化表达。演讲应当使用普通话，站立式、脱稿，并严格遵守演讲时限要求。</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审委员会由宪法与行政法学、教育学、传播学等领域专家组成。评委主要从演讲内容、语言表达、整体效果等方面对学生表现进行评价，所有评委打分后相加的平均分为该轮选手的演讲评委打分。如出现跑题、套题、抄袭等情形，经评审委员会认定，该轮选手的演讲成绩直接记为0分。</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方正楷体_GBK" w:hAnsi="方正楷体_GBK" w:eastAsia="方正楷体_GBK" w:cs="方正楷体_GBK"/>
          <w:b w:val="0"/>
          <w:bCs w:val="0"/>
        </w:rPr>
      </w:pPr>
      <w:r>
        <w:rPr>
          <w:rFonts w:hint="eastAsia" w:ascii="方正楷体_GBK" w:hAnsi="方正楷体_GBK" w:eastAsia="方正楷体_GBK" w:cs="方正楷体_GBK"/>
          <w:b w:val="0"/>
          <w:bCs w:val="0"/>
        </w:rPr>
        <w:t>（一）第一轮主题演讲</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各代表队成员在规定时间按抽签顺序依次进行演讲，每位选手主题演讲的时间为4至6分钟。</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kern w:val="2"/>
          <w:sz w:val="32"/>
          <w:szCs w:val="32"/>
          <w:lang w:val="en-US" w:eastAsia="zh-CN" w:bidi="ar-SA"/>
        </w:rPr>
      </w:pPr>
      <w:r>
        <w:rPr>
          <w:rStyle w:val="9"/>
          <w:rFonts w:hint="eastAsia" w:ascii="仿宋_GB2312" w:hAnsi="仿宋_GB2312" w:eastAsia="仿宋_GB2312" w:cs="仿宋_GB2312"/>
        </w:rPr>
        <w:t>1.演讲内容</w:t>
      </w:r>
      <w:r>
        <w:rPr>
          <w:rFonts w:hint="eastAsia" w:ascii="仿宋_GB2312" w:hAnsi="仿宋_GB2312" w:eastAsia="仿宋_GB2312" w:cs="仿宋_GB2312"/>
          <w:kern w:val="2"/>
          <w:sz w:val="32"/>
          <w:szCs w:val="32"/>
          <w:lang w:val="en-US" w:eastAsia="zh-CN" w:bidi="ar-SA"/>
        </w:rPr>
        <w:t>。选手可以从社会热点、案例故事、自身体会等方面切入，参考《第八届全国学生“学宪法 讲宪法”活动全国总决赛演讲比赛选题》（附件4）等内容，抒发自己爱党、爱国、爱社会主义的情感，讲述自己学习宪法法治知识、树立法治意识的心得体会，讲述自己对公平、正义、平等、诚信等原则的理解感悟，讲述自己从事法治实践、弘扬社会主义法治精神的真实故事。选手应陈述亲身经历，讲述真实感受，确保内容准确、符合实际，演讲体裁不限。</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3" w:firstLineChars="200"/>
        <w:textAlignment w:val="auto"/>
        <w:outlineLvl w:val="1"/>
        <w:rPr>
          <w:rFonts w:hint="eastAsia" w:ascii="仿宋_GB2312" w:hAnsi="仿宋_GB2312" w:eastAsia="仿宋_GB2312" w:cs="仿宋_GB2312"/>
          <w:sz w:val="32"/>
          <w:szCs w:val="32"/>
          <w:lang w:val="en-US" w:eastAsia="zh-CN"/>
        </w:rPr>
      </w:pPr>
      <w:r>
        <w:rPr>
          <w:rStyle w:val="9"/>
          <w:rFonts w:hint="eastAsia" w:ascii="仿宋_GB2312" w:hAnsi="仿宋_GB2312" w:eastAsia="仿宋_GB2312" w:cs="仿宋_GB2312"/>
          <w:lang w:val="en-US" w:eastAsia="zh-CN" w:bidi="ar-SA"/>
        </w:rPr>
        <w:t>2.主题演讲总分计算</w:t>
      </w:r>
      <w:r>
        <w:rPr>
          <w:rFonts w:hint="eastAsia" w:ascii="仿宋_GB2312" w:hAnsi="仿宋_GB2312" w:eastAsia="仿宋_GB2312" w:cs="仿宋_GB2312"/>
          <w:sz w:val="32"/>
          <w:szCs w:val="32"/>
          <w:lang w:val="en-US" w:eastAsia="zh-CN"/>
        </w:rPr>
        <w:t>。主题演讲总分=主题演讲评委打分*100%。其中。所有选手演讲环节结束后，选手主题演讲总分及排名将由评委会合议与复核，之后由组委会统一公布。</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方正楷体_GBK" w:hAnsi="方正楷体_GBK" w:eastAsia="方正楷体_GBK" w:cs="方正楷体_GBK"/>
          <w:b w:val="0"/>
          <w:bCs w:val="0"/>
        </w:rPr>
      </w:pPr>
      <w:r>
        <w:rPr>
          <w:rFonts w:hint="eastAsia" w:ascii="方正楷体_GBK" w:hAnsi="方正楷体_GBK" w:eastAsia="方正楷体_GBK" w:cs="方正楷体_GBK"/>
          <w:b w:val="0"/>
          <w:bCs w:val="0"/>
        </w:rPr>
        <w:t>（二）第二轮命题演讲</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演讲题目由组委会统一命题，选手在主题演讲全部结束后抽取题目，每位选手命题演讲时间为3至5分钟。</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kern w:val="2"/>
          <w:sz w:val="32"/>
          <w:szCs w:val="32"/>
          <w:lang w:val="en-US" w:eastAsia="zh-CN" w:bidi="ar-SA"/>
        </w:rPr>
      </w:pPr>
      <w:r>
        <w:rPr>
          <w:rStyle w:val="9"/>
          <w:rFonts w:hint="eastAsia" w:ascii="仿宋_GB2312" w:hAnsi="仿宋_GB2312" w:eastAsia="仿宋_GB2312" w:cs="仿宋_GB2312"/>
          <w:lang w:val="en-US" w:eastAsia="zh-CN"/>
        </w:rPr>
        <w:t>1.演讲题目</w:t>
      </w:r>
      <w:r>
        <w:rPr>
          <w:rFonts w:hint="eastAsia" w:ascii="仿宋_GB2312" w:hAnsi="仿宋_GB2312" w:eastAsia="仿宋_GB2312" w:cs="仿宋_GB2312"/>
          <w:kern w:val="2"/>
          <w:sz w:val="32"/>
          <w:szCs w:val="32"/>
          <w:lang w:val="en-US" w:eastAsia="zh-CN" w:bidi="ar-SA"/>
        </w:rPr>
        <w:t>。题目形式为短文或插图，根据当年宪法与法治热点事件命题，在全区复赛选手报到时发布赛题。演讲体裁不限，内容应紧密围绕抽取的题目展开，并结合学生自己的学习生活实际，符合自身年龄特点。</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 w:hAnsi="仿宋" w:eastAsia="仿宋" w:cs="仿宋"/>
          <w:sz w:val="32"/>
          <w:szCs w:val="32"/>
        </w:rPr>
      </w:pPr>
      <w:r>
        <w:rPr>
          <w:rStyle w:val="9"/>
          <w:rFonts w:hint="eastAsia" w:ascii="仿宋_GB2312" w:hAnsi="仿宋_GB2312" w:eastAsia="仿宋_GB2312" w:cs="仿宋_GB2312"/>
          <w:lang w:val="en-US" w:eastAsia="zh-CN"/>
        </w:rPr>
        <w:t>2.第二轮演讲比赛总分计算</w:t>
      </w:r>
      <w:r>
        <w:rPr>
          <w:rFonts w:hint="eastAsia" w:ascii="仿宋_GB2312" w:hAnsi="仿宋_GB2312" w:eastAsia="仿宋_GB2312" w:cs="仿宋_GB2312"/>
          <w:kern w:val="2"/>
          <w:sz w:val="32"/>
          <w:szCs w:val="32"/>
          <w:lang w:val="en-US" w:eastAsia="zh-CN" w:bidi="ar-SA"/>
        </w:rPr>
        <w:t>。命题演讲总分=命题演讲评委打分*100%。</w:t>
      </w:r>
      <w:bookmarkStart w:id="23" w:name="_Toc1373282040"/>
      <w:bookmarkStart w:id="24" w:name="_Toc748771088"/>
      <w:bookmarkStart w:id="25" w:name="_Toc1449132590"/>
      <w:bookmarkStart w:id="26" w:name="_Toc1409878404"/>
      <w:bookmarkStart w:id="27" w:name="_Toc2020367022"/>
      <w:r>
        <w:rPr>
          <w:rFonts w:hint="eastAsia" w:ascii="仿宋_GB2312" w:hAnsi="仿宋_GB2312" w:eastAsia="仿宋_GB2312" w:cs="仿宋_GB2312"/>
          <w:kern w:val="2"/>
          <w:sz w:val="32"/>
          <w:szCs w:val="32"/>
          <w:lang w:val="en-US" w:eastAsia="zh-CN" w:bidi="ar-SA"/>
        </w:rPr>
        <w:t>所有选手演讲环节结束后，选手命题演讲总分及排名将由评委会合议与复核，之后由组委会统一公布。</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w:t>
      </w:r>
      <w:bookmarkStart w:id="28" w:name="_Toc33691084"/>
      <w:r>
        <w:rPr>
          <w:rFonts w:hint="eastAsia" w:ascii="黑体" w:hAnsi="黑体" w:eastAsia="黑体" w:cs="黑体"/>
          <w:b w:val="0"/>
          <w:bCs w:val="0"/>
          <w:sz w:val="32"/>
          <w:szCs w:val="32"/>
          <w:lang w:val="en-US" w:eastAsia="zh-CN"/>
        </w:rPr>
        <w:t>素养竞赛复赛赛制</w:t>
      </w:r>
      <w:bookmarkEnd w:id="23"/>
      <w:bookmarkEnd w:id="24"/>
      <w:bookmarkEnd w:id="25"/>
      <w:bookmarkEnd w:id="26"/>
      <w:bookmarkEnd w:id="27"/>
      <w:bookmarkEnd w:id="28"/>
    </w:p>
    <w:p>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一</w:t>
      </w: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第一轮笔试</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1.笔试考核</w:t>
      </w:r>
      <w:r>
        <w:rPr>
          <w:rFonts w:hint="eastAsia" w:ascii="仿宋_GB2312" w:hAnsi="仿宋_GB2312" w:eastAsia="仿宋_GB2312" w:cs="仿宋_GB2312"/>
          <w:b w:val="0"/>
          <w:bCs w:val="0"/>
          <w:kern w:val="2"/>
          <w:sz w:val="32"/>
          <w:szCs w:val="32"/>
          <w:lang w:val="en-US" w:eastAsia="zh-CN" w:bidi="ar-SA"/>
        </w:rPr>
        <w:t>。笔试题目委托北方民族法学院组织专家命题，组织各地各校推荐的素养竞赛复赛选手参加笔试。</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2.笔试总分计算</w:t>
      </w:r>
      <w:r>
        <w:rPr>
          <w:rFonts w:hint="eastAsia" w:ascii="仿宋_GB2312" w:hAnsi="仿宋_GB2312" w:eastAsia="仿宋_GB2312" w:cs="仿宋_GB2312"/>
          <w:kern w:val="2"/>
          <w:sz w:val="32"/>
          <w:szCs w:val="32"/>
          <w:lang w:val="en-US" w:eastAsia="zh-CN" w:bidi="ar-SA"/>
        </w:rPr>
        <w:t>。素养竞赛笔试总分=笔试成绩*100%。其中。参赛选手总分及排名将由评委会合议与复核，之后由组委会统一公布。</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3.选手晋级</w:t>
      </w:r>
      <w:r>
        <w:rPr>
          <w:rFonts w:hint="eastAsia" w:ascii="仿宋_GB2312" w:hAnsi="仿宋_GB2312" w:eastAsia="仿宋_GB2312" w:cs="仿宋_GB2312"/>
          <w:kern w:val="2"/>
          <w:sz w:val="32"/>
          <w:szCs w:val="32"/>
          <w:lang w:val="en-US" w:eastAsia="zh-CN" w:bidi="ar-SA"/>
        </w:rPr>
        <w:t>。素养竞赛各学段选手参加笔试考试，根据笔试结果，确定小学组、初中组、高中组和高校组各组别前6名选手晋级第二轮素养竞赛团队赛。</w:t>
      </w:r>
    </w:p>
    <w:p>
      <w:pPr>
        <w:keepNext w:val="0"/>
        <w:keepLines w:val="0"/>
        <w:pageBreakBefore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方正楷体_GBK" w:hAnsi="方正楷体_GBK" w:eastAsia="方正楷体_GBK" w:cs="方正楷体_GBK"/>
          <w:b w:val="0"/>
          <w:bCs w:val="0"/>
          <w:sz w:val="32"/>
          <w:szCs w:val="32"/>
          <w:lang w:eastAsia="zh-CN"/>
        </w:rPr>
      </w:pP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二</w:t>
      </w: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第二轮</w:t>
      </w:r>
      <w:r>
        <w:rPr>
          <w:rFonts w:hint="eastAsia" w:ascii="方正楷体_GBK" w:hAnsi="方正楷体_GBK" w:eastAsia="方正楷体_GBK" w:cs="方正楷体_GBK"/>
          <w:b w:val="0"/>
          <w:bCs w:val="0"/>
          <w:sz w:val="32"/>
          <w:szCs w:val="32"/>
          <w:lang w:eastAsia="zh-CN"/>
        </w:rPr>
        <w:t>素养竞赛</w:t>
      </w:r>
      <w:r>
        <w:rPr>
          <w:rFonts w:hint="eastAsia" w:ascii="方正楷体_GBK" w:hAnsi="方正楷体_GBK" w:eastAsia="方正楷体_GBK" w:cs="方正楷体_GBK"/>
          <w:b w:val="0"/>
          <w:bCs w:val="0"/>
          <w:sz w:val="32"/>
          <w:szCs w:val="32"/>
          <w:lang w:val="en-US" w:eastAsia="zh-CN"/>
        </w:rPr>
        <w:t>团队</w:t>
      </w:r>
      <w:r>
        <w:rPr>
          <w:rFonts w:hint="eastAsia" w:ascii="方正楷体_GBK" w:hAnsi="方正楷体_GBK" w:eastAsia="方正楷体_GBK" w:cs="方正楷体_GBK"/>
          <w:b w:val="0"/>
          <w:bCs w:val="0"/>
          <w:sz w:val="32"/>
          <w:szCs w:val="32"/>
          <w:lang w:eastAsia="zh-CN"/>
        </w:rPr>
        <w:t>赛</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通过现场抽签分为6组，每组由各组别的4位选手组成。</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复赛素养竞赛由组委会统一命题，主要围绕党的二十大精神、习近平法治思想、宪法、民法典、教育法律、中华民族共同体意识、国家安全、未成年人保护、劳动教育、公共卫生、科技普及、生态文明、家庭美德、诚实守信、规则意识等内容展开。团队素养竞赛为选拔性比赛，不提供比赛题库，例题详见《第八届全国学生“学宪法 讲宪法”活动全国总决赛素养竞赛例题》（附件5）。</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小组赛包括三个环节，分别为必答题、抢答题和协作题。</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1.环节一：必答题</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（1）题目形式：判断题、单选题、逻辑题、多选题。</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（2）答题形式：各团队参赛学生分别按照小学生、初中生、高中生和大学生的顺序，依次上台答题。</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答题规则：由主持人读题，主持人宣布“开始作答”后，选手应当根据要求在10秒内将正确答案（“A”“B”“C”“D”或“√”“×”等）写在答题板上并展示。答案展示后不得更改。其中，单选题和判断题仅有1个正确答案；逻辑题需要从每组词语中选出与其他词汇性质不同的一个词；多选题需对题干进行分析，从4个选项中选取2至4个正确选项。</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2.环节二：抢答题</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（1）题目形式：多段式抢答。</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（2）答题形式：各团队所有选手以抢答方式作答。</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答题规则：由主持人读题，主持人宣布“请开始抢答”指令后，所有选手方可进行抢答。提前抢答则为犯规，犯规一次进行警告，犯规两次取消比赛资格。选手抢到答题机会后，应当在10秒内口述回答，并以“答题完毕”示意主持人结束。如果答错，则失去本题的答题机会，不得再次抢答本题。</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3.环节三：协作题</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（1）题目形式：你话我猜。</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（2）答题形式：各团队依次上场进行。</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答题规则：本环节中会给出一些与宪法、法治或其他法律相关的词汇，每队派代表选取大屏幕上的一组词汇（每组词汇包含10个词，根据60秒内答对的词个数计算本轮得分），一人面向大屏幕通过肢体动作或语言表述词汇内容，其余三人进行猜词。</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表述者进行语言描述时不得提及答案中的任意字、词，不得使用方言、外语等组委会认定为违规的形式，也不可以每个字（词）为单位以不同声调的形式进行语言描述（如将“宪法”描述为第一个字是“先”的第四声，第二个字为“发”的第三声），否则视为违规，该词作废。在比赛过程中，选手可自行选择是否跳过某一词汇，跳过后不可返回再猜此词。</w:t>
      </w:r>
    </w:p>
    <w:p>
      <w:pPr>
        <w:pStyle w:val="3"/>
        <w:keepNext w:val="0"/>
        <w:keepLines w:val="0"/>
        <w:pageBreakBefore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4.素养竞赛复赛总分计算</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复赛团队总分=复赛三个比赛环节得分之和*100%。素养竞赛答题环节结束后，各队素养竞赛总分及排名将由评委会合议与复核，之后由组委会统一公布。</w:t>
      </w:r>
    </w:p>
    <w:p>
      <w:pPr>
        <w:pStyle w:val="10"/>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textAlignment w:val="auto"/>
        <w:outlineLvl w:val="1"/>
        <w:rPr>
          <w:rFonts w:hint="eastAsia" w:ascii="黑体" w:hAnsi="黑体" w:eastAsia="黑体" w:cs="黑体"/>
          <w:sz w:val="32"/>
          <w:szCs w:val="32"/>
        </w:rPr>
      </w:pPr>
      <w:r>
        <w:rPr>
          <w:rFonts w:hint="eastAsia" w:ascii="仿宋_GB2312" w:hAnsi="仿宋_GB2312" w:eastAsia="仿宋_GB2312" w:cs="仿宋_GB2312"/>
          <w:sz w:val="32"/>
          <w:szCs w:val="32"/>
          <w:lang w:val="en-US" w:eastAsia="zh-CN"/>
        </w:rPr>
        <w:t>本文所涉及条款的最终解释权，归第九届全国学生“学宪法 讲宪法”活动宁夏赛区组委会所有。</w:t>
      </w:r>
    </w:p>
    <w:p>
      <w:pPr>
        <w:jc w:val="left"/>
        <w:rPr>
          <w:rFonts w:hint="eastAsia" w:ascii="黑体" w:hAnsi="黑体" w:eastAsia="黑体" w:cs="黑体"/>
          <w:sz w:val="32"/>
          <w:szCs w:val="32"/>
        </w:rPr>
      </w:pPr>
    </w:p>
    <w:p>
      <w:pPr>
        <w:jc w:val="left"/>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p>
    <w:sectPr>
      <w:footerReference r:id="rId3" w:type="default"/>
      <w:pgSz w:w="11906" w:h="16838"/>
      <w:pgMar w:top="2098" w:right="1474" w:bottom="1984" w:left="1587" w:header="851" w:footer="1417" w:gutter="0"/>
      <w:paperSrc/>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7133D5C-F40A-4E34-9E8C-B81806DE3B9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33C76343-2A9A-424A-8525-A90850E8D87C}"/>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auto"/>
    <w:pitch w:val="default"/>
    <w:sig w:usb0="A00002BF" w:usb1="38CF7CFA" w:usb2="00082016" w:usb3="00000000" w:csb0="00040001" w:csb1="00000000"/>
    <w:embedRegular r:id="rId3" w:fontKey="{7F254C18-28B1-4EC3-B8A9-8F17AC3B22EA}"/>
  </w:font>
  <w:font w:name="仿宋_GB2312">
    <w:panose1 w:val="02010609030101010101"/>
    <w:charset w:val="86"/>
    <w:family w:val="auto"/>
    <w:pitch w:val="default"/>
    <w:sig w:usb0="00000001" w:usb1="080E0000" w:usb2="00000000" w:usb3="00000000" w:csb0="00040000" w:csb1="00000000"/>
    <w:embedRegular r:id="rId4" w:fontKey="{DD1FC363-2525-4A7D-A3F7-5C8025F31E63}"/>
  </w:font>
  <w:font w:name="方正楷体_GBK">
    <w:altName w:val="微软雅黑"/>
    <w:panose1 w:val="03000509000000000000"/>
    <w:charset w:val="86"/>
    <w:family w:val="auto"/>
    <w:pitch w:val="default"/>
    <w:sig w:usb0="00000001" w:usb1="080E0000" w:usb2="00000000" w:usb3="00000000" w:csb0="00040000" w:csb1="00000000"/>
    <w:embedRegular r:id="rId5" w:fontKey="{BAD6723C-149B-40FF-9ADD-467EDC91CDE4}"/>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2534920</wp:posOffset>
              </wp:positionH>
              <wp:positionV relativeFrom="paragraph">
                <wp:posOffset>-175895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left:199.6pt;margin-top:-13.85pt;height:144pt;width:144pt;mso-position-horizontal-relative:margin;mso-wrap-style:none;z-index:251659264;mso-width-relative:page;mso-height-relative:page;" filled="f" stroked="f" coordsize="21600,21600" o:gfxdata="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d6rFEtgAAAALAQAADwAA&#10;AAAAAAABACAAAAAiAAAAZHJzL2Rvd25yZXYueG1sUEsBAhQAFAAAAAgAh07iQG15XmjdAQAAvgMA&#10;AA4AAAAAAAAAAQAgAAAAJwEAAGRycy9lMm9Eb2MueG1sUEsFBgAAAAAGAAYAWQEAAHYFAAAAAA==&#10;">
              <v:fill on="f" focussize="0,0"/>
              <v:stroke on="f"/>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1FBE80A"/>
    <w:rsid w:val="55825EE2"/>
    <w:rsid w:val="5D9EF3DD"/>
    <w:rsid w:val="5E7801ED"/>
    <w:rsid w:val="5FFB330A"/>
    <w:rsid w:val="6EF55B91"/>
    <w:rsid w:val="6FFEC069"/>
    <w:rsid w:val="76F5425B"/>
    <w:rsid w:val="7AB7E6AF"/>
    <w:rsid w:val="7F7FE478"/>
    <w:rsid w:val="7FFFF832"/>
    <w:rsid w:val="A9DB4B9B"/>
    <w:rsid w:val="AAFF4069"/>
    <w:rsid w:val="B7DF7B9A"/>
    <w:rsid w:val="B97FE2B3"/>
    <w:rsid w:val="C1FBE80A"/>
    <w:rsid w:val="CF9F4361"/>
    <w:rsid w:val="DD7DB15C"/>
    <w:rsid w:val="E4CE03B5"/>
    <w:rsid w:val="E4FC974A"/>
    <w:rsid w:val="ED6F7555"/>
    <w:rsid w:val="F6FF3402"/>
    <w:rsid w:val="F7EF00E6"/>
    <w:rsid w:val="FB6B0643"/>
    <w:rsid w:val="FDED61C3"/>
    <w:rsid w:val="FFAFE4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9"/>
    <w:qFormat/>
    <w:uiPriority w:val="9"/>
    <w:pPr>
      <w:spacing w:beforeAutospacing="1" w:afterAutospacing="1"/>
      <w:jc w:val="left"/>
      <w:outlineLvl w:val="0"/>
    </w:pPr>
    <w:rPr>
      <w:rFonts w:hint="eastAsia" w:ascii="宋体" w:hAnsi="宋体" w:eastAsia="仿宋"/>
      <w:b/>
      <w:bCs/>
      <w:kern w:val="44"/>
      <w:sz w:val="32"/>
      <w:szCs w:val="48"/>
    </w:rPr>
  </w:style>
  <w:style w:type="character" w:default="1" w:styleId="8">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b/>
      <w:bCs/>
      <w:szCs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99"/>
    <w:pPr>
      <w:spacing w:beforeAutospacing="1" w:afterAutospacing="1"/>
      <w:jc w:val="left"/>
    </w:pPr>
    <w:rPr>
      <w:rFonts w:ascii="Calibri" w:hAnsi="Calibri" w:eastAsia="宋体"/>
      <w:kern w:val="0"/>
      <w:sz w:val="24"/>
      <w:szCs w:val="24"/>
    </w:rPr>
  </w:style>
  <w:style w:type="character" w:customStyle="1" w:styleId="9">
    <w:name w:val="标题 1 Char"/>
    <w:link w:val="3"/>
    <w:qFormat/>
    <w:uiPriority w:val="9"/>
    <w:rPr>
      <w:rFonts w:hint="eastAsia" w:ascii="宋体" w:hAnsi="宋体" w:eastAsia="仿宋"/>
      <w:b/>
      <w:bCs/>
      <w:kern w:val="44"/>
      <w:sz w:val="32"/>
      <w:szCs w:val="4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16.3333333333333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2021-04-15T09:22:00Z</dcterms:created>
  <dc:creator>greatwall</dc:creator>
  <cp:lastModifiedBy>雨季的花海</cp:lastModifiedBy>
  <cp:lastPrinted>2024-07-01T19:06:11Z</cp:lastPrinted>
  <dcterms:modified xsi:type="dcterms:W3CDTF">2024-07-09T03:44:38Z</dcterms:modified>
  <dc:title>宁夏回族自治区教育厅办公室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5FE0A0976AFB4BA590C6E73983FB1782_13</vt:lpwstr>
  </property>
</Properties>
</file>