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pacing w:line="56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附件5：</w:t>
      </w:r>
    </w:p>
    <w:p>
      <w:pPr>
        <w:keepNext w:val="0"/>
        <w:keepLines w:val="0"/>
        <w:pageBreakBefore w:val="0"/>
        <w:widowControl w:val="0"/>
        <w:kinsoku/>
        <w:wordWrap/>
        <w:overflowPunct/>
        <w:topLinePunct w:val="0"/>
        <w:autoSpaceDE/>
        <w:autoSpaceDN/>
        <w:bidi w:val="0"/>
        <w:adjustRightInd/>
        <w:spacing w:line="560" w:lineRule="exact"/>
        <w:textAlignment w:val="auto"/>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贺兰县第五批中小学幼儿园骨干教师认定综合考核打分有关说明</w:t>
      </w:r>
    </w:p>
    <w:p>
      <w:pPr>
        <w:keepNext w:val="0"/>
        <w:keepLines w:val="0"/>
        <w:pageBreakBefore w:val="0"/>
        <w:widowControl w:val="0"/>
        <w:kinsoku/>
        <w:wordWrap/>
        <w:overflowPunct/>
        <w:topLinePunct w:val="0"/>
        <w:autoSpaceDE/>
        <w:autoSpaceDN/>
        <w:bidi w:val="0"/>
        <w:adjustRightInd/>
        <w:snapToGrid w:val="0"/>
        <w:spacing w:line="560" w:lineRule="exact"/>
        <w:ind w:firstLine="600" w:firstLineChars="200"/>
        <w:textAlignment w:val="auto"/>
        <w:rPr>
          <w:rFonts w:ascii="仿宋_GB2312" w:hAnsi="宋体" w:eastAsia="仿宋_GB2312"/>
          <w:sz w:val="30"/>
          <w:szCs w:val="30"/>
        </w:rPr>
      </w:pP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_GB2312" w:hAnsi="宋体" w:eastAsia="仿宋_GB2312"/>
          <w:sz w:val="32"/>
          <w:szCs w:val="32"/>
        </w:rPr>
      </w:pPr>
      <w:r>
        <w:rPr>
          <w:rFonts w:hint="eastAsia" w:ascii="仿宋_GB2312" w:hAnsi="宋体" w:eastAsia="仿宋_GB2312"/>
          <w:sz w:val="32"/>
          <w:szCs w:val="32"/>
        </w:rPr>
        <w:t>贺兰县第五批中小学幼儿园骨干教师认定综合考核表按以下要求进行考核打分。各种证书的印章必须是现盖的，印刷无效。</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_GB2312" w:hAnsi="宋体" w:eastAsia="仿宋_GB2312"/>
          <w:sz w:val="32"/>
          <w:szCs w:val="32"/>
        </w:rPr>
      </w:pPr>
      <w:r>
        <w:rPr>
          <w:rFonts w:hint="eastAsia" w:ascii="仿宋_GB2312" w:hAnsi="宋体" w:eastAsia="仿宋_GB2312"/>
          <w:b/>
          <w:sz w:val="32"/>
          <w:szCs w:val="32"/>
        </w:rPr>
        <w:t>一、职业道德</w:t>
      </w:r>
      <w:r>
        <w:rPr>
          <w:rFonts w:hint="eastAsia" w:ascii="仿宋_GB2312" w:hAnsi="宋体" w:eastAsia="仿宋_GB2312"/>
          <w:sz w:val="32"/>
          <w:szCs w:val="32"/>
        </w:rPr>
        <w:t>：严格按《中小学教师职业道德规范》要求考核（不提供材料）。</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_GB2312" w:hAnsi="宋体" w:eastAsia="仿宋_GB2312"/>
          <w:sz w:val="32"/>
          <w:szCs w:val="32"/>
        </w:rPr>
      </w:pPr>
      <w:r>
        <w:rPr>
          <w:rFonts w:hint="eastAsia" w:ascii="仿宋_GB2312" w:eastAsia="仿宋_GB2312"/>
          <w:b/>
          <w:sz w:val="32"/>
          <w:szCs w:val="32"/>
        </w:rPr>
        <w:t>二、教学研修：</w:t>
      </w:r>
      <w:r>
        <w:rPr>
          <w:rFonts w:hint="eastAsia" w:ascii="仿宋_GB2312" w:hAnsi="宋体" w:eastAsia="仿宋_GB2312"/>
          <w:sz w:val="32"/>
          <w:szCs w:val="32"/>
        </w:rPr>
        <w:t>分为教学和研修两个方面进行考核。教学从是否担任班主任、教学工作量和教学效果三个方面考核，由学校出具相关证明。研修包括培养对象培养期间研修学习情况。读书笔记按字数是否达到要求、内容是否贴合教育教学、撰写是否认真三个方面进行考核打分。教学反思或教学案例（教学故事），主要通过教学反思或教学案例（教学故事）的真实性、文体和表述方式、主题是否鲜明、字数等方面进行考核打分。</w:t>
      </w:r>
    </w:p>
    <w:p>
      <w:pPr>
        <w:keepNext w:val="0"/>
        <w:keepLines w:val="0"/>
        <w:pageBreakBefore w:val="0"/>
        <w:widowControl w:val="0"/>
        <w:kinsoku/>
        <w:wordWrap/>
        <w:overflowPunct/>
        <w:topLinePunct w:val="0"/>
        <w:autoSpaceDE/>
        <w:autoSpaceDN/>
        <w:bidi w:val="0"/>
        <w:adjustRightInd/>
        <w:snapToGrid w:val="0"/>
        <w:spacing w:line="560" w:lineRule="exact"/>
        <w:ind w:firstLine="636" w:firstLineChars="198"/>
        <w:textAlignment w:val="auto"/>
        <w:rPr>
          <w:rFonts w:ascii="仿宋_GB2312" w:eastAsia="仿宋_GB2312"/>
          <w:b/>
          <w:sz w:val="32"/>
          <w:szCs w:val="32"/>
        </w:rPr>
      </w:pPr>
      <w:r>
        <w:rPr>
          <w:rFonts w:hint="eastAsia" w:ascii="仿宋_GB2312" w:eastAsia="仿宋_GB2312"/>
          <w:b/>
          <w:sz w:val="32"/>
          <w:szCs w:val="32"/>
        </w:rPr>
        <w:t>三、获奖情况</w:t>
      </w: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560" w:lineRule="exact"/>
        <w:ind w:firstLine="636" w:firstLineChars="198"/>
        <w:textAlignment w:val="auto"/>
        <w:rPr>
          <w:rFonts w:ascii="仿宋_GB2312" w:hAnsi="宋体" w:eastAsia="仿宋_GB2312"/>
          <w:sz w:val="32"/>
          <w:szCs w:val="32"/>
        </w:rPr>
      </w:pPr>
      <w:r>
        <w:rPr>
          <w:rFonts w:hint="eastAsia" w:ascii="仿宋_GB2312" w:eastAsia="仿宋_GB2312"/>
          <w:b/>
          <w:sz w:val="32"/>
          <w:szCs w:val="32"/>
        </w:rPr>
        <w:t>1.表彰奖励：</w:t>
      </w:r>
      <w:r>
        <w:rPr>
          <w:rFonts w:hint="eastAsia" w:ascii="仿宋_GB2312" w:hAnsi="宋体" w:eastAsia="仿宋_GB2312"/>
          <w:sz w:val="32"/>
          <w:szCs w:val="32"/>
        </w:rPr>
        <w:t>由党政机关及教育行政部门授予的劳动模范、优秀党员、优秀党务工作者、优秀教师、优秀教育工作者、优秀班主任、师德标兵等综合性奖励按标准计分；其他部门、领导小组、基金会、学会等奖励降一等次计分；同类荣誉只计最高分。</w:t>
      </w:r>
    </w:p>
    <w:p>
      <w:pPr>
        <w:keepNext w:val="0"/>
        <w:keepLines w:val="0"/>
        <w:pageBreakBefore w:val="0"/>
        <w:widowControl w:val="0"/>
        <w:kinsoku/>
        <w:wordWrap/>
        <w:overflowPunct/>
        <w:topLinePunct w:val="0"/>
        <w:autoSpaceDE/>
        <w:autoSpaceDN/>
        <w:bidi w:val="0"/>
        <w:adjustRightInd/>
        <w:snapToGrid w:val="0"/>
        <w:spacing w:line="560" w:lineRule="exact"/>
        <w:ind w:firstLine="636" w:firstLineChars="198"/>
        <w:textAlignment w:val="auto"/>
        <w:rPr>
          <w:rFonts w:ascii="仿宋_GB2312" w:hAnsi="宋体" w:eastAsia="仿宋_GB2312"/>
          <w:color w:val="auto"/>
          <w:sz w:val="32"/>
          <w:szCs w:val="32"/>
        </w:rPr>
      </w:pPr>
      <w:r>
        <w:rPr>
          <w:rFonts w:hint="eastAsia" w:ascii="仿宋_GB2312" w:eastAsia="仿宋_GB2312"/>
          <w:b/>
          <w:sz w:val="32"/>
          <w:szCs w:val="32"/>
        </w:rPr>
        <w:t>2.</w:t>
      </w:r>
      <w:r>
        <w:rPr>
          <w:rFonts w:hint="eastAsia" w:ascii="仿宋_GB2312" w:eastAsia="仿宋_GB2312"/>
          <w:b/>
          <w:sz w:val="32"/>
          <w:szCs w:val="32"/>
          <w:u w:val="none"/>
        </w:rPr>
        <w:t>教学竞赛：</w:t>
      </w:r>
      <w:r>
        <w:rPr>
          <w:rFonts w:hint="eastAsia" w:ascii="仿宋_GB2312" w:hAnsi="宋体" w:eastAsia="仿宋_GB2312"/>
          <w:sz w:val="32"/>
          <w:szCs w:val="32"/>
          <w:u w:val="none"/>
        </w:rPr>
        <w:t>教育、科研部门，教育学会（学科）等授予的</w:t>
      </w:r>
      <w:r>
        <w:rPr>
          <w:rFonts w:hint="eastAsia" w:ascii="仿宋_GB2312" w:hAnsi="宋体" w:eastAsia="仿宋_GB2312"/>
          <w:color w:val="auto"/>
          <w:sz w:val="32"/>
          <w:szCs w:val="32"/>
          <w:u w:val="none"/>
          <w:lang w:eastAsia="zh-Hans"/>
        </w:rPr>
        <w:t>各类</w:t>
      </w:r>
      <w:r>
        <w:rPr>
          <w:rFonts w:hint="eastAsia" w:ascii="仿宋_GB2312" w:hAnsi="宋体" w:eastAsia="仿宋_GB2312"/>
          <w:color w:val="auto"/>
          <w:sz w:val="32"/>
          <w:szCs w:val="32"/>
          <w:u w:val="none"/>
        </w:rPr>
        <w:t>教学</w:t>
      </w:r>
      <w:r>
        <w:rPr>
          <w:rFonts w:hint="eastAsia" w:ascii="仿宋_GB2312" w:hAnsi="宋体" w:eastAsia="仿宋_GB2312"/>
          <w:color w:val="auto"/>
          <w:sz w:val="32"/>
          <w:szCs w:val="32"/>
          <w:u w:val="none"/>
          <w:lang w:eastAsia="zh-Hans"/>
        </w:rPr>
        <w:t>评比</w:t>
      </w:r>
      <w:r>
        <w:rPr>
          <w:rFonts w:hint="eastAsia" w:ascii="仿宋_GB2312" w:hAnsi="宋体" w:eastAsia="仿宋_GB2312"/>
          <w:color w:val="auto"/>
          <w:sz w:val="32"/>
          <w:szCs w:val="32"/>
          <w:u w:val="none"/>
        </w:rPr>
        <w:t>、基本功</w:t>
      </w:r>
      <w:r>
        <w:rPr>
          <w:rFonts w:hint="eastAsia" w:ascii="仿宋_GB2312" w:hAnsi="宋体" w:eastAsia="仿宋_GB2312"/>
          <w:color w:val="auto"/>
          <w:sz w:val="32"/>
          <w:szCs w:val="32"/>
          <w:u w:val="none"/>
          <w:lang w:eastAsia="zh-Hans"/>
        </w:rPr>
        <w:t>大赛</w:t>
      </w:r>
      <w:r>
        <w:rPr>
          <w:rFonts w:hint="eastAsia" w:ascii="仿宋_GB2312" w:hAnsi="宋体" w:eastAsia="仿宋_GB2312"/>
          <w:color w:val="auto"/>
          <w:sz w:val="32"/>
          <w:szCs w:val="32"/>
          <w:u w:val="none"/>
        </w:rPr>
        <w:t>等奖励。同一</w:t>
      </w:r>
      <w:r>
        <w:rPr>
          <w:rFonts w:hint="eastAsia" w:ascii="仿宋_GB2312" w:hAnsi="宋体" w:eastAsia="仿宋_GB2312"/>
          <w:color w:val="auto"/>
          <w:sz w:val="32"/>
          <w:szCs w:val="32"/>
        </w:rPr>
        <w:t>类型、不同级别的，只取最高分。</w:t>
      </w:r>
    </w:p>
    <w:p>
      <w:pPr>
        <w:keepNext w:val="0"/>
        <w:keepLines w:val="0"/>
        <w:pageBreakBefore w:val="0"/>
        <w:widowControl w:val="0"/>
        <w:kinsoku/>
        <w:wordWrap/>
        <w:overflowPunct/>
        <w:topLinePunct w:val="0"/>
        <w:autoSpaceDE/>
        <w:autoSpaceDN/>
        <w:bidi w:val="0"/>
        <w:adjustRightInd/>
        <w:snapToGrid w:val="0"/>
        <w:spacing w:line="560" w:lineRule="exact"/>
        <w:ind w:firstLine="636" w:firstLineChars="198"/>
        <w:textAlignment w:val="auto"/>
        <w:rPr>
          <w:rFonts w:ascii="仿宋_GB2312" w:eastAsia="仿宋_GB2312"/>
          <w:b/>
          <w:sz w:val="32"/>
          <w:szCs w:val="32"/>
        </w:rPr>
      </w:pPr>
      <w:r>
        <w:rPr>
          <w:rFonts w:hint="eastAsia" w:ascii="仿宋_GB2312" w:eastAsia="仿宋_GB2312"/>
          <w:b/>
          <w:sz w:val="32"/>
          <w:szCs w:val="32"/>
        </w:rPr>
        <w:t>3.指导学生竞赛：</w:t>
      </w:r>
      <w:r>
        <w:rPr>
          <w:rFonts w:hint="eastAsia" w:ascii="仿宋_GB2312" w:hAnsi="宋体" w:eastAsia="仿宋_GB2312"/>
          <w:color w:val="auto"/>
          <w:sz w:val="32"/>
          <w:szCs w:val="32"/>
        </w:rPr>
        <w:t>竞赛必须是教育行政部门批准的</w:t>
      </w:r>
      <w:r>
        <w:rPr>
          <w:rFonts w:hint="eastAsia" w:ascii="仿宋_GB2312" w:hAnsi="宋体" w:eastAsia="仿宋_GB2312"/>
          <w:color w:val="auto"/>
          <w:sz w:val="32"/>
          <w:szCs w:val="32"/>
          <w:lang w:eastAsia="zh-CN"/>
        </w:rPr>
        <w:t>，</w:t>
      </w:r>
      <w:r>
        <w:rPr>
          <w:rFonts w:hint="eastAsia" w:ascii="仿宋_GB2312" w:hAnsi="宋体" w:eastAsia="仿宋_GB2312"/>
          <w:color w:val="auto"/>
          <w:sz w:val="32"/>
          <w:szCs w:val="32"/>
        </w:rPr>
        <w:t>教育科研部门、科协、教育学会组织的。</w:t>
      </w:r>
      <w:r>
        <w:rPr>
          <w:rFonts w:hint="eastAsia" w:ascii="仿宋_GB2312" w:hAnsi="宋体" w:eastAsia="仿宋_GB2312"/>
          <w:sz w:val="32"/>
          <w:szCs w:val="32"/>
        </w:rPr>
        <w:t>同一学生参加的同一科目、不同级别的竞赛，只按最高分计分。</w:t>
      </w:r>
    </w:p>
    <w:p>
      <w:pPr>
        <w:keepNext w:val="0"/>
        <w:keepLines w:val="0"/>
        <w:pageBreakBefore w:val="0"/>
        <w:widowControl w:val="0"/>
        <w:kinsoku/>
        <w:wordWrap/>
        <w:overflowPunct/>
        <w:topLinePunct w:val="0"/>
        <w:autoSpaceDE/>
        <w:autoSpaceDN/>
        <w:bidi w:val="0"/>
        <w:adjustRightInd/>
        <w:snapToGrid w:val="0"/>
        <w:spacing w:line="560" w:lineRule="exact"/>
        <w:ind w:firstLine="636" w:firstLineChars="198"/>
        <w:textAlignment w:val="auto"/>
        <w:rPr>
          <w:rFonts w:ascii="仿宋_GB2312" w:eastAsia="仿宋_GB2312"/>
          <w:b/>
          <w:sz w:val="32"/>
          <w:szCs w:val="32"/>
        </w:rPr>
      </w:pPr>
      <w:r>
        <w:rPr>
          <w:rFonts w:hint="eastAsia" w:ascii="仿宋_GB2312" w:eastAsia="仿宋_GB2312"/>
          <w:b/>
          <w:sz w:val="32"/>
          <w:szCs w:val="32"/>
        </w:rPr>
        <w:t>四、教育科研</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_GB2312" w:hAnsi="宋体" w:eastAsia="仿宋_GB2312"/>
          <w:sz w:val="32"/>
          <w:szCs w:val="32"/>
        </w:rPr>
      </w:pPr>
      <w:r>
        <w:rPr>
          <w:rFonts w:hint="eastAsia" w:ascii="仿宋_GB2312" w:eastAsia="仿宋_GB2312"/>
          <w:b/>
          <w:sz w:val="32"/>
          <w:szCs w:val="32"/>
        </w:rPr>
        <w:t>1.学术专著：</w:t>
      </w:r>
      <w:r>
        <w:rPr>
          <w:rFonts w:hint="eastAsia" w:ascii="仿宋_GB2312" w:hAnsi="宋体" w:eastAsia="仿宋_GB2312"/>
          <w:sz w:val="32"/>
          <w:szCs w:val="32"/>
        </w:rPr>
        <w:t>个人学术专著按第一作者、第二作者分别计分；被审定通过的校本教材或教辅材料编委</w:t>
      </w:r>
      <w:r>
        <w:rPr>
          <w:rFonts w:hint="eastAsia" w:ascii="仿宋_GB2312" w:hAnsi="宋体" w:eastAsia="仿宋_GB2312"/>
          <w:color w:val="auto"/>
          <w:sz w:val="32"/>
          <w:szCs w:val="32"/>
        </w:rPr>
        <w:t>不分先</w:t>
      </w:r>
      <w:r>
        <w:rPr>
          <w:rFonts w:hint="eastAsia" w:ascii="仿宋_GB2312" w:hAnsi="宋体" w:eastAsia="仿宋_GB2312"/>
          <w:sz w:val="32"/>
          <w:szCs w:val="32"/>
        </w:rPr>
        <w:t>后统一加分。</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_GB2312" w:hAnsi="宋体" w:eastAsia="仿宋_GB2312"/>
          <w:sz w:val="32"/>
          <w:szCs w:val="32"/>
        </w:rPr>
      </w:pPr>
      <w:r>
        <w:rPr>
          <w:rFonts w:hint="eastAsia" w:ascii="仿宋_GB2312" w:eastAsia="仿宋_GB2312"/>
          <w:b/>
          <w:sz w:val="32"/>
          <w:szCs w:val="32"/>
        </w:rPr>
        <w:t>2.发表（交流）论文：</w:t>
      </w:r>
      <w:r>
        <w:rPr>
          <w:rFonts w:hint="eastAsia" w:ascii="仿宋_GB2312" w:hAnsi="宋体" w:eastAsia="仿宋_GB2312"/>
          <w:sz w:val="32"/>
          <w:szCs w:val="32"/>
        </w:rPr>
        <w:t>必须是发表在公开出版的专业刊物上的论文；国家级包括教育部等国家部委主管的刊物；省级包括省级教育学会的内部刊物；报纸发表计分减半，教案、反思、随笔等计分减半；同一作品多次发表只取最高一项计分。交流论文必须有文件、文集等佐证。</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_GB2312" w:hAnsi="宋体" w:eastAsia="仿宋_GB2312"/>
          <w:sz w:val="32"/>
          <w:szCs w:val="32"/>
        </w:rPr>
      </w:pPr>
      <w:r>
        <w:rPr>
          <w:rFonts w:hint="eastAsia" w:ascii="仿宋_GB2312" w:eastAsia="仿宋_GB2312"/>
          <w:b/>
          <w:sz w:val="32"/>
          <w:szCs w:val="32"/>
        </w:rPr>
        <w:t>3.教科研成果奖：</w:t>
      </w:r>
      <w:r>
        <w:rPr>
          <w:rFonts w:hint="eastAsia" w:ascii="仿宋_GB2312" w:hAnsi="宋体" w:eastAsia="仿宋_GB2312"/>
          <w:spacing w:val="-10"/>
          <w:sz w:val="32"/>
          <w:szCs w:val="32"/>
        </w:rPr>
        <w:t>有关部委、中央教科所、中国教育学会、中国教育学会各专业委员会为全国级；省级教育学会为省级；省级教育学会下属学科学会、市教育学会、中国教育学会各专业委员会下设中心属市级；市教育学会下属学科学会减半计分；发表论文已计“发表（交流）论文”分的此项减半计分；教案、反思、随笔等减半计分；同一作品多次获奖只取最高一项计分。</w:t>
      </w:r>
    </w:p>
    <w:p>
      <w:pPr>
        <w:keepNext w:val="0"/>
        <w:keepLines w:val="0"/>
        <w:pageBreakBefore w:val="0"/>
        <w:widowControl w:val="0"/>
        <w:kinsoku/>
        <w:wordWrap/>
        <w:overflowPunct/>
        <w:topLinePunct w:val="0"/>
        <w:autoSpaceDE/>
        <w:autoSpaceDN/>
        <w:bidi w:val="0"/>
        <w:adjustRightInd/>
        <w:snapToGrid w:val="0"/>
        <w:spacing w:line="560" w:lineRule="exact"/>
        <w:ind w:firstLine="630" w:firstLineChars="196"/>
        <w:textAlignment w:val="auto"/>
        <w:rPr>
          <w:rFonts w:ascii="仿宋_GB2312" w:hAnsi="宋体" w:eastAsia="仿宋_GB2312"/>
          <w:b/>
          <w:sz w:val="32"/>
          <w:szCs w:val="32"/>
        </w:rPr>
      </w:pPr>
      <w:r>
        <w:rPr>
          <w:rFonts w:hint="eastAsia" w:ascii="仿宋_GB2312" w:hAnsi="宋体" w:eastAsia="仿宋_GB2312"/>
          <w:b/>
          <w:sz w:val="32"/>
          <w:szCs w:val="32"/>
        </w:rPr>
        <w:t>4.课题研究</w:t>
      </w:r>
    </w:p>
    <w:p>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_GB2312" w:hAnsi="宋体" w:eastAsia="仿宋_GB2312"/>
          <w:sz w:val="32"/>
          <w:szCs w:val="32"/>
        </w:rPr>
      </w:pPr>
      <w:r>
        <w:rPr>
          <w:rFonts w:hint="eastAsia" w:ascii="仿宋_GB2312" w:hAnsi="宋体" w:eastAsia="仿宋_GB2312"/>
          <w:sz w:val="32"/>
          <w:szCs w:val="32"/>
        </w:rPr>
        <w:t>课题以获奖和立项分别计分。立项</w:t>
      </w:r>
      <w:r>
        <w:rPr>
          <w:rFonts w:hint="eastAsia" w:ascii="仿宋_GB2312" w:hAnsi="宋体" w:eastAsia="仿宋_GB2312"/>
          <w:sz w:val="32"/>
          <w:szCs w:val="32"/>
          <w:lang w:val="en-US" w:eastAsia="zh-CN"/>
        </w:rPr>
        <w:t>课题需提供立项文件、阶段研究报告，</w:t>
      </w:r>
      <w:r>
        <w:rPr>
          <w:rFonts w:hint="eastAsia" w:ascii="仿宋_GB2312" w:hAnsi="宋体" w:eastAsia="仿宋_GB2312"/>
          <w:sz w:val="32"/>
          <w:szCs w:val="32"/>
        </w:rPr>
        <w:t>结题</w:t>
      </w:r>
      <w:r>
        <w:rPr>
          <w:rFonts w:hint="eastAsia" w:ascii="仿宋_GB2312" w:hAnsi="宋体" w:eastAsia="仿宋_GB2312"/>
          <w:sz w:val="32"/>
          <w:szCs w:val="32"/>
          <w:lang w:val="en-US" w:eastAsia="zh-CN"/>
        </w:rPr>
        <w:t>需提供获奖证书或结题文件。</w:t>
      </w:r>
    </w:p>
    <w:p>
      <w:pPr>
        <w:keepNext w:val="0"/>
        <w:keepLines w:val="0"/>
        <w:pageBreakBefore w:val="0"/>
        <w:widowControl w:val="0"/>
        <w:kinsoku/>
        <w:wordWrap/>
        <w:overflowPunct/>
        <w:topLinePunct w:val="0"/>
        <w:autoSpaceDE/>
        <w:autoSpaceDN/>
        <w:bidi w:val="0"/>
        <w:adjustRightInd/>
        <w:snapToGrid w:val="0"/>
        <w:spacing w:line="560" w:lineRule="exact"/>
        <w:ind w:firstLine="630" w:firstLineChars="196"/>
        <w:textAlignment w:val="auto"/>
        <w:rPr>
          <w:rFonts w:ascii="仿宋_GB2312" w:hAnsi="宋体" w:eastAsia="仿宋_GB2312"/>
          <w:b/>
          <w:sz w:val="32"/>
          <w:szCs w:val="32"/>
        </w:rPr>
      </w:pPr>
      <w:r>
        <w:rPr>
          <w:rFonts w:hint="eastAsia" w:ascii="仿宋_GB2312" w:hAnsi="宋体" w:eastAsia="仿宋_GB2312"/>
          <w:b/>
          <w:sz w:val="32"/>
          <w:szCs w:val="32"/>
        </w:rPr>
        <w:t>五、示范作用</w:t>
      </w:r>
    </w:p>
    <w:p>
      <w:pPr>
        <w:keepNext w:val="0"/>
        <w:keepLines w:val="0"/>
        <w:pageBreakBefore w:val="0"/>
        <w:widowControl w:val="0"/>
        <w:kinsoku/>
        <w:wordWrap/>
        <w:overflowPunct/>
        <w:topLinePunct w:val="0"/>
        <w:autoSpaceDE/>
        <w:autoSpaceDN/>
        <w:bidi w:val="0"/>
        <w:adjustRightInd/>
        <w:snapToGrid w:val="0"/>
        <w:spacing w:line="560" w:lineRule="exact"/>
        <w:ind w:firstLine="630" w:firstLineChars="196"/>
        <w:textAlignment w:val="auto"/>
        <w:rPr>
          <w:rFonts w:ascii="仿宋_GB2312" w:hAnsi="宋体" w:eastAsia="仿宋_GB2312"/>
          <w:spacing w:val="-10"/>
          <w:sz w:val="32"/>
          <w:szCs w:val="32"/>
        </w:rPr>
      </w:pPr>
      <w:r>
        <w:rPr>
          <w:rFonts w:hint="eastAsia" w:ascii="仿宋_GB2312" w:hAnsi="宋体" w:eastAsia="仿宋_GB2312"/>
          <w:b/>
          <w:sz w:val="32"/>
          <w:szCs w:val="32"/>
        </w:rPr>
        <w:t>1.教学示范：</w:t>
      </w:r>
      <w:r>
        <w:rPr>
          <w:rFonts w:hint="eastAsia" w:ascii="仿宋_GB2312" w:hAnsi="宋体" w:eastAsia="仿宋_GB2312"/>
          <w:spacing w:val="-10"/>
          <w:sz w:val="32"/>
          <w:szCs w:val="32"/>
        </w:rPr>
        <w:t>教学示范课、研讨课、观摩课、教学经验交流等，必须有文件、证</w:t>
      </w:r>
      <w:r>
        <w:rPr>
          <w:rFonts w:hint="eastAsia" w:ascii="仿宋_GB2312" w:hAnsi="宋体" w:eastAsia="仿宋_GB2312"/>
          <w:spacing w:val="-10"/>
          <w:sz w:val="32"/>
          <w:szCs w:val="32"/>
          <w:lang w:val="en-US" w:eastAsia="zh-CN"/>
        </w:rPr>
        <w:t>书</w:t>
      </w:r>
      <w:r>
        <w:rPr>
          <w:rFonts w:hint="eastAsia" w:ascii="仿宋_GB2312" w:hAnsi="宋体" w:eastAsia="仿宋_GB2312"/>
          <w:spacing w:val="-10"/>
          <w:sz w:val="32"/>
          <w:szCs w:val="32"/>
        </w:rPr>
        <w:t>等佐证。</w:t>
      </w:r>
    </w:p>
    <w:p>
      <w:pPr>
        <w:keepNext w:val="0"/>
        <w:keepLines w:val="0"/>
        <w:pageBreakBefore w:val="0"/>
        <w:widowControl w:val="0"/>
        <w:kinsoku/>
        <w:wordWrap/>
        <w:overflowPunct/>
        <w:topLinePunct w:val="0"/>
        <w:autoSpaceDE/>
        <w:autoSpaceDN/>
        <w:bidi w:val="0"/>
        <w:adjustRightInd/>
        <w:snapToGrid w:val="0"/>
        <w:spacing w:line="560" w:lineRule="exact"/>
        <w:ind w:firstLine="630" w:firstLineChars="196"/>
        <w:textAlignment w:val="auto"/>
        <w:rPr>
          <w:rFonts w:ascii="仿宋_GB2312" w:eastAsia="仿宋_GB2312"/>
          <w:sz w:val="32"/>
          <w:szCs w:val="32"/>
        </w:rPr>
      </w:pPr>
      <w:r>
        <w:rPr>
          <w:rFonts w:hint="eastAsia" w:ascii="仿宋_GB2312" w:hAnsi="宋体" w:eastAsia="仿宋_GB2312"/>
          <w:b/>
          <w:sz w:val="32"/>
          <w:szCs w:val="32"/>
        </w:rPr>
        <w:t>2.专题讲座：</w:t>
      </w:r>
      <w:r>
        <w:rPr>
          <w:rFonts w:hint="eastAsia" w:ascii="仿宋_GB2312" w:hAnsi="宋体" w:eastAsia="仿宋_GB2312"/>
          <w:spacing w:val="-10"/>
          <w:sz w:val="32"/>
          <w:szCs w:val="32"/>
        </w:rPr>
        <w:t>学校、教研部门、培训部门组织的集体备课、专题讲座。必须有文件、证</w:t>
      </w:r>
      <w:r>
        <w:rPr>
          <w:rFonts w:hint="eastAsia" w:ascii="仿宋_GB2312" w:hAnsi="宋体" w:eastAsia="仿宋_GB2312"/>
          <w:spacing w:val="-10"/>
          <w:sz w:val="32"/>
          <w:szCs w:val="32"/>
          <w:lang w:val="en-US" w:eastAsia="zh-CN"/>
        </w:rPr>
        <w:t>书</w:t>
      </w:r>
      <w:r>
        <w:rPr>
          <w:rFonts w:hint="eastAsia" w:ascii="仿宋_GB2312" w:hAnsi="宋体" w:eastAsia="仿宋_GB2312"/>
          <w:spacing w:val="-10"/>
          <w:sz w:val="32"/>
          <w:szCs w:val="32"/>
        </w:rPr>
        <w:t>等佐证</w:t>
      </w:r>
      <w:r>
        <w:rPr>
          <w:rFonts w:hint="eastAsia" w:ascii="仿宋_GB2312" w:hAnsi="宋体" w:eastAsia="仿宋_GB2312"/>
          <w:sz w:val="32"/>
          <w:szCs w:val="32"/>
        </w:rPr>
        <w:t>。</w:t>
      </w:r>
    </w:p>
    <w:p>
      <w:pPr>
        <w:keepNext w:val="0"/>
        <w:keepLines w:val="0"/>
        <w:pageBreakBefore w:val="0"/>
        <w:widowControl w:val="0"/>
        <w:kinsoku/>
        <w:wordWrap/>
        <w:overflowPunct/>
        <w:topLinePunct w:val="0"/>
        <w:autoSpaceDE/>
        <w:autoSpaceDN/>
        <w:bidi w:val="0"/>
        <w:adjustRightInd/>
        <w:spacing w:line="560" w:lineRule="exact"/>
        <w:textAlignment w:val="auto"/>
        <w:rPr>
          <w:sz w:val="32"/>
          <w:szCs w:val="32"/>
        </w:rPr>
      </w:pPr>
    </w:p>
    <w:sectPr>
      <w:footerReference r:id="rId3" w:type="default"/>
      <w:pgSz w:w="11906" w:h="16838"/>
      <w:pgMar w:top="1440" w:right="1803" w:bottom="1440" w:left="1803" w:header="851" w:footer="992" w:gutter="0"/>
      <w:pgNumType w:fmt="decimal"/>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rPr>
                            <w:fldChar w:fldCharType="begin"/>
                          </w:r>
                          <w:r>
                            <w:rPr>
                              <w:rFonts w:hint="default" w:ascii="Times New Roman" w:hAnsi="Times New Roman" w:eastAsia="仿宋_GB2312" w:cs="Times New Roman"/>
                              <w:sz w:val="24"/>
                              <w:szCs w:val="24"/>
                            </w:rPr>
                            <w:instrText xml:space="preserve"> PAGE  \* MERGEFORMAT </w:instrText>
                          </w:r>
                          <w:r>
                            <w:rPr>
                              <w:rFonts w:hint="default" w:ascii="Times New Roman" w:hAnsi="Times New Roman" w:eastAsia="仿宋_GB2312" w:cs="Times New Roman"/>
                              <w:sz w:val="24"/>
                              <w:szCs w:val="24"/>
                            </w:rPr>
                            <w:fldChar w:fldCharType="separate"/>
                          </w:r>
                          <w:r>
                            <w:rPr>
                              <w:rFonts w:hint="default" w:ascii="Times New Roman" w:hAnsi="Times New Roman" w:eastAsia="仿宋_GB2312" w:cs="Times New Roman"/>
                              <w:sz w:val="24"/>
                              <w:szCs w:val="24"/>
                            </w:rPr>
                            <w:t>- 1 -</w:t>
                          </w:r>
                          <w:r>
                            <w:rPr>
                              <w:rFonts w:hint="default" w:ascii="Times New Roman" w:hAnsi="Times New Roman" w:eastAsia="仿宋_GB2312" w:cs="Times New Roman"/>
                              <w:sz w:val="24"/>
                              <w:szCs w:val="24"/>
                            </w:rPr>
                            <w:fldChar w:fldCharType="end"/>
                          </w:r>
                          <w:r>
                            <w:rPr>
                              <w:rFonts w:hint="default" w:ascii="Times New Roman" w:hAnsi="Times New Roman" w:eastAsia="仿宋_GB2312"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rPr>
                      <w:fldChar w:fldCharType="begin"/>
                    </w:r>
                    <w:r>
                      <w:rPr>
                        <w:rFonts w:hint="default" w:ascii="Times New Roman" w:hAnsi="Times New Roman" w:eastAsia="仿宋_GB2312" w:cs="Times New Roman"/>
                        <w:sz w:val="24"/>
                        <w:szCs w:val="24"/>
                      </w:rPr>
                      <w:instrText xml:space="preserve"> PAGE  \* MERGEFORMAT </w:instrText>
                    </w:r>
                    <w:r>
                      <w:rPr>
                        <w:rFonts w:hint="default" w:ascii="Times New Roman" w:hAnsi="Times New Roman" w:eastAsia="仿宋_GB2312" w:cs="Times New Roman"/>
                        <w:sz w:val="24"/>
                        <w:szCs w:val="24"/>
                      </w:rPr>
                      <w:fldChar w:fldCharType="separate"/>
                    </w:r>
                    <w:r>
                      <w:rPr>
                        <w:rFonts w:hint="default" w:ascii="Times New Roman" w:hAnsi="Times New Roman" w:eastAsia="仿宋_GB2312" w:cs="Times New Roman"/>
                        <w:sz w:val="24"/>
                        <w:szCs w:val="24"/>
                      </w:rPr>
                      <w:t>- 1 -</w:t>
                    </w:r>
                    <w:r>
                      <w:rPr>
                        <w:rFonts w:hint="default" w:ascii="Times New Roman" w:hAnsi="Times New Roman" w:eastAsia="仿宋_GB2312" w:cs="Times New Roman"/>
                        <w:sz w:val="24"/>
                        <w:szCs w:val="24"/>
                      </w:rPr>
                      <w:fldChar w:fldCharType="end"/>
                    </w:r>
                    <w:r>
                      <w:rPr>
                        <w:rFonts w:hint="default" w:ascii="Times New Roman" w:hAnsi="Times New Roman" w:eastAsia="仿宋_GB2312"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kNmZjYWQ4NjQzYjcxZmMwMTU4OTAxNTY1YTU2NzEifQ=="/>
  </w:docVars>
  <w:rsids>
    <w:rsidRoot w:val="0D244838"/>
    <w:rsid w:val="08EC41BF"/>
    <w:rsid w:val="0D244838"/>
    <w:rsid w:val="74F72A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1039</Words>
  <Characters>1048</Characters>
  <Lines>0</Lines>
  <Paragraphs>0</Paragraphs>
  <TotalTime>3</TotalTime>
  <ScaleCrop>false</ScaleCrop>
  <LinksUpToDate>false</LinksUpToDate>
  <CharactersWithSpaces>1048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2024-05-08T01:40:00Z</dcterms:created>
  <dc:creator>辉色馨情</dc:creator>
  <cp:lastModifiedBy>雨季的花海</cp:lastModifiedBy>
  <cp:lastPrinted>2024-05-08T08:31:00Z</cp:lastPrinted>
  <dcterms:modified xsi:type="dcterms:W3CDTF">2024-05-09T10:28:13Z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635FEF1059FE4AFE9044A401861149DA_11</vt:lpwstr>
  </property>
</Properties>
</file>