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方正小标宋简体" w:eastAsia="方正小标宋简体" w:cs="方正小标宋简体"/>
          <w:sz w:val="40"/>
          <w:szCs w:val="40"/>
          <w:lang w:eastAsia="zh-CN"/>
        </w:rPr>
      </w:pPr>
      <w:r>
        <w:rPr>
          <w:rFonts w:hint="eastAsia" w:ascii="方正小标宋简体" w:hAnsi="方正小标宋简体" w:eastAsia="方正小标宋简体" w:cs="方正小标宋简体"/>
          <w:sz w:val="40"/>
          <w:szCs w:val="40"/>
          <w:lang w:eastAsia="zh-CN"/>
        </w:rPr>
        <w:t>轮式或履带式行走机器人任务要求</w:t>
      </w:r>
    </w:p>
    <w:p>
      <w:pPr>
        <w:spacing w:line="560" w:lineRule="exact"/>
        <w:ind w:firstLine="640" w:firstLineChars="200"/>
        <w:rPr>
          <w:rFonts w:ascii="黑体" w:hAnsi="黑体" w:eastAsia="黑体" w:cs="黑体"/>
          <w:sz w:val="32"/>
          <w:szCs w:val="32"/>
          <w:lang w:eastAsia="zh-CN"/>
        </w:rPr>
      </w:pPr>
    </w:p>
    <w:p>
      <w:pPr>
        <w:spacing w:line="560" w:lineRule="exact"/>
        <w:ind w:firstLine="640" w:firstLineChars="200"/>
        <w:rPr>
          <w:rFonts w:ascii="黑体" w:hAnsi="黑体" w:eastAsia="黑体" w:cs="黑体"/>
          <w:sz w:val="32"/>
          <w:szCs w:val="32"/>
          <w:lang w:eastAsia="zh-CN"/>
        </w:rPr>
      </w:pPr>
      <w:r>
        <w:rPr>
          <w:rFonts w:hint="eastAsia" w:ascii="黑体" w:hAnsi="黑体" w:eastAsia="黑体" w:cs="黑体"/>
          <w:sz w:val="32"/>
          <w:szCs w:val="32"/>
          <w:lang w:eastAsia="zh-CN"/>
        </w:rPr>
        <w:t>一、项目概述</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本项目是指可编程控制的轮式或履带式行走机器人。</w:t>
      </w:r>
      <w:r>
        <w:rPr>
          <w:rFonts w:hint="eastAsia" w:ascii="仿宋_GB2312" w:hAnsi="仿宋_GB2312" w:eastAsia="仿宋_GB2312" w:cs="仿宋_GB2312"/>
          <w:sz w:val="32"/>
          <w:szCs w:val="32"/>
          <w:lang w:val="en-US" w:eastAsia="zh-CN"/>
        </w:rPr>
        <w:t>参赛</w:t>
      </w:r>
      <w:r>
        <w:rPr>
          <w:rFonts w:hint="eastAsia" w:ascii="仿宋_GB2312" w:hAnsi="仿宋_GB2312" w:eastAsia="仿宋_GB2312" w:cs="仿宋_GB2312"/>
          <w:sz w:val="32"/>
          <w:szCs w:val="32"/>
          <w:lang w:eastAsia="zh-CN"/>
        </w:rPr>
        <w:t>学生根据公布的任务和现场发布的任务，能够运用各种传感器包括视觉（大小、形状、颜色）识别、物理量（温度、光强、距离）感知、位置（坐标、方向）确定等自行设计制作或改装机器人，机器人具有对任务“物品”的分类、转运、码垛能力。现场进行机器人程序编写、调试并不断地完善机器人，使机器人能够高效地完成项目任务。</w:t>
      </w:r>
    </w:p>
    <w:p>
      <w:pPr>
        <w:pStyle w:val="3"/>
        <w:spacing w:line="560" w:lineRule="exact"/>
        <w:ind w:firstLine="640" w:firstLineChars="200"/>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二、组队方式</w:t>
      </w:r>
    </w:p>
    <w:p>
      <w:pPr>
        <w:pStyle w:val="3"/>
        <w:spacing w:line="560" w:lineRule="exact"/>
        <w:ind w:firstLine="640" w:firstLineChars="200"/>
        <w:rPr>
          <w:rFonts w:ascii="仿宋_GB2312" w:hAnsi="仿宋_GB2312" w:eastAsia="仿宋_GB2312" w:cs="仿宋_GB2312"/>
          <w:color w:val="auto"/>
          <w:sz w:val="32"/>
          <w:szCs w:val="32"/>
          <w:lang w:eastAsia="zh-CN"/>
        </w:rPr>
      </w:pPr>
      <w:r>
        <w:rPr>
          <w:rFonts w:ascii="Times New Roman" w:hAnsi="Times New Roman" w:eastAsia="仿宋_GB2312" w:cs="Times New Roman"/>
          <w:color w:val="auto"/>
          <w:sz w:val="32"/>
          <w:szCs w:val="32"/>
          <w:lang w:eastAsia="zh-CN"/>
        </w:rPr>
        <w:t>比赛设有小学、初中、高中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w:t>
      </w:r>
      <w:r>
        <w:rPr>
          <w:rFonts w:ascii="Times New Roman" w:hAnsi="Times New Roman" w:eastAsia="仿宋_GB2312" w:cs="Times New Roman"/>
          <w:color w:val="auto"/>
          <w:sz w:val="32"/>
          <w:szCs w:val="32"/>
          <w:lang w:eastAsia="zh-CN"/>
        </w:rPr>
        <w:t>3个组别，每支队伍由</w:t>
      </w:r>
      <w:r>
        <w:rPr>
          <w:rFonts w:hint="eastAsia" w:ascii="Times New Roman" w:hAnsi="Times New Roman" w:eastAsia="仿宋_GB2312" w:cs="Times New Roman"/>
          <w:color w:val="auto"/>
          <w:sz w:val="32"/>
          <w:szCs w:val="32"/>
          <w:lang w:eastAsia="zh-CN"/>
        </w:rPr>
        <w:t>1-2</w:t>
      </w:r>
      <w:r>
        <w:rPr>
          <w:rFonts w:ascii="Times New Roman" w:hAnsi="Times New Roman" w:eastAsia="仿宋_GB2312" w:cs="Times New Roman"/>
          <w:color w:val="auto"/>
          <w:sz w:val="32"/>
          <w:szCs w:val="32"/>
          <w:lang w:eastAsia="zh-CN"/>
        </w:rPr>
        <w:t>名选手和1名指导老师组成，选手为截止到2024年6月在校学生。</w:t>
      </w:r>
    </w:p>
    <w:p>
      <w:pPr>
        <w:pStyle w:val="3"/>
        <w:spacing w:line="560" w:lineRule="exact"/>
        <w:ind w:firstLine="640" w:firstLineChars="200"/>
        <w:rPr>
          <w:rFonts w:ascii="黑体" w:hAnsi="黑体" w:eastAsia="黑体" w:cs="黑体"/>
          <w:sz w:val="32"/>
          <w:szCs w:val="32"/>
          <w:lang w:eastAsia="zh-CN"/>
        </w:rPr>
      </w:pPr>
      <w:r>
        <w:rPr>
          <w:rFonts w:hint="eastAsia" w:ascii="黑体" w:hAnsi="黑体" w:eastAsia="黑体" w:cs="黑体"/>
          <w:sz w:val="32"/>
          <w:szCs w:val="32"/>
          <w:lang w:eastAsia="zh-CN"/>
        </w:rPr>
        <w:t>三、场地及物品</w:t>
      </w:r>
    </w:p>
    <w:p>
      <w:pPr>
        <w:pStyle w:val="3"/>
        <w:spacing w:line="560" w:lineRule="exact"/>
        <w:ind w:firstLine="643" w:firstLineChars="200"/>
        <w:rPr>
          <w:rFonts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（一）场地</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展示场地为尺寸大小约225cm×180cm的喷绘地图，周围有高约20cm的围栏，各区域的分布如图1所示。外围边框线条为宽度约0.5cm的黑色线，其他类型区域的边框和线条为宽度约2cm的黑色线，障碍区尺寸如图4。初、高中组（</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）点划线为宽度约0.5cm的橙色线。</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整个展示场地被布置在一个高约50cm的操作台上。亦可将地图直接置于平整的地面作为展示场地。</w:t>
      </w:r>
    </w:p>
    <w:p>
      <w:pPr>
        <w:pStyle w:val="3"/>
        <w:rPr>
          <w:rFonts w:ascii="仿宋_GB2312" w:hAnsi="仿宋_GB2312" w:eastAsia="仿宋_GB2312" w:cs="仿宋_GB2312"/>
          <w:sz w:val="32"/>
          <w:szCs w:val="32"/>
        </w:rPr>
      </w:pPr>
      <w:r>
        <w:drawing>
          <wp:inline distT="0" distB="0" distL="114300" distR="114300">
            <wp:extent cx="5615940" cy="5505450"/>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615940" cy="5505450"/>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rPr>
      </w:pPr>
      <w:r>
        <w:rPr>
          <w:rFonts w:ascii="仿宋" w:hAnsi="仿宋" w:eastAsia="仿宋" w:cs="仿宋"/>
          <w:sz w:val="32"/>
          <w:szCs w:val="32"/>
        </w:rPr>
        <w:t xml:space="preserve">图1  </w:t>
      </w:r>
      <w:r>
        <w:rPr>
          <w:rFonts w:hint="eastAsia" w:ascii="仿宋" w:hAnsi="仿宋" w:eastAsia="仿宋" w:cs="仿宋"/>
          <w:sz w:val="32"/>
          <w:szCs w:val="32"/>
          <w:lang w:eastAsia="zh-CN"/>
        </w:rPr>
        <w:t>小学组</w:t>
      </w:r>
      <w:r>
        <w:rPr>
          <w:rFonts w:ascii="仿宋" w:hAnsi="仿宋" w:eastAsia="仿宋" w:cs="仿宋"/>
          <w:sz w:val="32"/>
          <w:szCs w:val="32"/>
        </w:rPr>
        <w:t>场地示意图</w:t>
      </w:r>
    </w:p>
    <w:p>
      <w:pPr>
        <w:pStyle w:val="3"/>
        <w:spacing w:line="560" w:lineRule="exact"/>
        <w:ind w:firstLine="640" w:firstLineChars="200"/>
        <w:rPr>
          <w:rFonts w:ascii="仿宋_GB2312" w:hAnsi="仿宋_GB2312" w:eastAsia="仿宋_GB2312" w:cs="仿宋_GB2312"/>
          <w:sz w:val="32"/>
          <w:szCs w:val="32"/>
        </w:rPr>
      </w:pPr>
    </w:p>
    <w:p>
      <w:pPr>
        <w:pStyle w:val="3"/>
        <w:spacing w:line="560" w:lineRule="exact"/>
        <w:ind w:firstLine="640" w:firstLineChars="200"/>
        <w:rPr>
          <w:rFonts w:ascii="仿宋_GB2312" w:hAnsi="仿宋_GB2312" w:eastAsia="仿宋_GB2312" w:cs="仿宋_GB2312"/>
          <w:sz w:val="32"/>
          <w:szCs w:val="32"/>
        </w:rPr>
      </w:pPr>
    </w:p>
    <w:p>
      <w:pPr>
        <w:pStyle w:val="3"/>
        <w:spacing w:line="560" w:lineRule="exact"/>
        <w:ind w:firstLine="640" w:firstLineChars="200"/>
        <w:rPr>
          <w:rFonts w:ascii="仿宋_GB2312" w:hAnsi="仿宋_GB2312" w:eastAsia="仿宋_GB2312" w:cs="仿宋_GB2312"/>
          <w:sz w:val="32"/>
          <w:szCs w:val="32"/>
        </w:rPr>
      </w:pPr>
    </w:p>
    <w:p>
      <w:pPr>
        <w:pStyle w:val="3"/>
        <w:rPr>
          <w:rFonts w:ascii="仿宋_GB2312" w:hAnsi="仿宋_GB2312" w:eastAsia="仿宋_GB2312" w:cs="仿宋_GB2312"/>
          <w:sz w:val="32"/>
          <w:szCs w:val="32"/>
        </w:rPr>
      </w:pPr>
      <w:r>
        <w:drawing>
          <wp:inline distT="0" distB="0" distL="114300" distR="114300">
            <wp:extent cx="5611495" cy="5504815"/>
            <wp:effectExtent l="0" t="0" r="8255" b="63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611495" cy="5504815"/>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2</w:t>
      </w:r>
      <w:r>
        <w:rPr>
          <w:rFonts w:ascii="仿宋" w:hAnsi="仿宋" w:eastAsia="仿宋" w:cs="仿宋"/>
          <w:sz w:val="32"/>
          <w:szCs w:val="32"/>
          <w:lang w:eastAsia="zh-CN"/>
        </w:rPr>
        <w:t xml:space="preserve">  </w:t>
      </w:r>
      <w:r>
        <w:rPr>
          <w:rFonts w:hint="eastAsia" w:ascii="仿宋" w:hAnsi="仿宋" w:eastAsia="仿宋" w:cs="仿宋"/>
          <w:sz w:val="32"/>
          <w:szCs w:val="32"/>
          <w:lang w:eastAsia="zh-CN"/>
        </w:rPr>
        <w:t>初中、高中组（</w:t>
      </w:r>
      <w:r>
        <w:rPr>
          <w:rFonts w:hint="eastAsia" w:ascii="仿宋" w:hAnsi="仿宋" w:eastAsia="仿宋" w:cs="仿宋"/>
          <w:sz w:val="32"/>
          <w:szCs w:val="32"/>
          <w:lang w:val="en-US" w:eastAsia="zh-CN"/>
        </w:rPr>
        <w:t>含中职</w:t>
      </w:r>
      <w:r>
        <w:rPr>
          <w:rFonts w:hint="eastAsia" w:ascii="仿宋" w:hAnsi="仿宋" w:eastAsia="仿宋" w:cs="仿宋"/>
          <w:sz w:val="32"/>
          <w:szCs w:val="32"/>
          <w:lang w:eastAsia="zh-CN"/>
        </w:rPr>
        <w:t>）</w:t>
      </w:r>
      <w:r>
        <w:rPr>
          <w:rFonts w:ascii="仿宋" w:hAnsi="仿宋" w:eastAsia="仿宋" w:cs="仿宋"/>
          <w:sz w:val="32"/>
          <w:szCs w:val="32"/>
          <w:lang w:eastAsia="zh-CN"/>
        </w:rPr>
        <w:t>场地示意图</w:t>
      </w:r>
    </w:p>
    <w:p>
      <w:pPr>
        <w:spacing w:before="78" w:line="221" w:lineRule="auto"/>
        <w:jc w:val="center"/>
        <w:rPr>
          <w:rFonts w:ascii="仿宋" w:hAnsi="仿宋" w:eastAsia="仿宋" w:cs="仿宋"/>
          <w:sz w:val="32"/>
          <w:szCs w:val="32"/>
          <w:lang w:eastAsia="zh-CN"/>
        </w:rPr>
      </w:pPr>
    </w:p>
    <w:p>
      <w:pPr>
        <w:spacing w:before="78" w:line="221" w:lineRule="auto"/>
        <w:ind w:firstLine="643" w:firstLineChars="200"/>
        <w:jc w:val="both"/>
        <w:rPr>
          <w:rFonts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（二）物品</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1.任务“物品”</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①小学组</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任务中的“物品”分别为直径约4cm、高约4cm的6个红色圆柱体；棱长约4cm的6个黄色立方体；下底直径约4cm、上底直径约2cm，高约4cm的6个绿色圆台,如图2。参考色值分别为红色（C0 M100 Y100 K0）、黄色（C0 M0 Y100 K0）、绿色（C80 M0 Y100 K0），其材质、具体位置均以现场公布为准。</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②初中、高中组（</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w:t>
      </w:r>
    </w:p>
    <w:p>
      <w:pPr>
        <w:pStyle w:val="3"/>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任务中的“物品”分别为棱长约4cm的6个立方体；直径约4cm、高约4cm的6个圆柱体；下底直径4cm、上底直径2cm，高约4cm的6个圆台。颜色分别是红色（参考色值为C0 M100 Y100 K0）2个、黄色（参考色值为C0 M0 Y100 K0）2个、绿色（参考色值为C80 M0Y100 K0）2个，如图2。</w:t>
      </w:r>
      <w:r>
        <w:rPr>
          <w:rFonts w:hint="eastAsia" w:ascii="仿宋_GB2312" w:hAnsi="仿宋_GB2312" w:eastAsia="仿宋_GB2312" w:cs="仿宋_GB2312"/>
          <w:sz w:val="32"/>
          <w:szCs w:val="32"/>
        </w:rPr>
        <w:t>其材质、具体位置均以现场公布为准。</w:t>
      </w:r>
    </w:p>
    <w:p>
      <w:pPr>
        <w:spacing w:before="78" w:line="221" w:lineRule="auto"/>
        <w:jc w:val="center"/>
        <w:rPr>
          <w:rFonts w:ascii="仿宋" w:hAnsi="仿宋" w:eastAsia="仿宋" w:cs="仿宋"/>
          <w:sz w:val="32"/>
          <w:szCs w:val="32"/>
        </w:rPr>
      </w:pPr>
    </w:p>
    <w:p>
      <w:pPr>
        <w:jc w:val="center"/>
        <w:rPr>
          <w:sz w:val="32"/>
          <w:szCs w:val="32"/>
        </w:rPr>
      </w:pPr>
      <w:r>
        <w:drawing>
          <wp:inline distT="0" distB="0" distL="114300" distR="114300">
            <wp:extent cx="2943860" cy="532130"/>
            <wp:effectExtent l="0" t="0" r="8890" b="12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rcRect t="12103" b="18974"/>
                    <a:stretch>
                      <a:fillRect/>
                    </a:stretch>
                  </pic:blipFill>
                  <pic:spPr>
                    <a:xfrm>
                      <a:off x="0" y="0"/>
                      <a:ext cx="2943860" cy="532130"/>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3</w:t>
      </w:r>
      <w:r>
        <w:rPr>
          <w:rFonts w:ascii="仿宋" w:hAnsi="仿宋" w:eastAsia="仿宋" w:cs="仿宋"/>
          <w:sz w:val="32"/>
          <w:szCs w:val="32"/>
          <w:lang w:eastAsia="zh-CN"/>
        </w:rPr>
        <w:t xml:space="preserve"> </w:t>
      </w:r>
      <w:r>
        <w:rPr>
          <w:rFonts w:hint="eastAsia" w:ascii="仿宋" w:hAnsi="仿宋" w:eastAsia="仿宋" w:cs="仿宋"/>
          <w:sz w:val="32"/>
          <w:szCs w:val="32"/>
          <w:lang w:eastAsia="zh-CN"/>
        </w:rPr>
        <w:t xml:space="preserve"> 小学组</w:t>
      </w:r>
      <w:r>
        <w:rPr>
          <w:rFonts w:ascii="仿宋" w:hAnsi="仿宋" w:eastAsia="仿宋" w:cs="仿宋"/>
          <w:sz w:val="32"/>
          <w:szCs w:val="32"/>
          <w:lang w:eastAsia="zh-CN"/>
        </w:rPr>
        <w:t>“物品”示意图</w:t>
      </w:r>
    </w:p>
    <w:p>
      <w:pPr>
        <w:spacing w:before="78" w:line="221" w:lineRule="auto"/>
        <w:jc w:val="center"/>
        <w:rPr>
          <w:rFonts w:ascii="仿宋" w:hAnsi="仿宋" w:eastAsia="仿宋" w:cs="仿宋"/>
          <w:sz w:val="32"/>
          <w:szCs w:val="32"/>
        </w:rPr>
      </w:pPr>
      <w:r>
        <w:drawing>
          <wp:inline distT="0" distB="0" distL="114300" distR="114300">
            <wp:extent cx="5066665" cy="1289050"/>
            <wp:effectExtent l="0" t="0" r="635" b="635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8"/>
                    <a:stretch>
                      <a:fillRect/>
                    </a:stretch>
                  </pic:blipFill>
                  <pic:spPr>
                    <a:xfrm>
                      <a:off x="0" y="0"/>
                      <a:ext cx="5066665" cy="1289050"/>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4</w:t>
      </w:r>
      <w:r>
        <w:rPr>
          <w:rFonts w:ascii="仿宋" w:hAnsi="仿宋" w:eastAsia="仿宋" w:cs="仿宋"/>
          <w:sz w:val="32"/>
          <w:szCs w:val="32"/>
          <w:lang w:eastAsia="zh-CN"/>
        </w:rPr>
        <w:t xml:space="preserve"> </w:t>
      </w:r>
      <w:r>
        <w:rPr>
          <w:rFonts w:hint="eastAsia" w:ascii="仿宋" w:hAnsi="仿宋" w:eastAsia="仿宋" w:cs="仿宋"/>
          <w:sz w:val="32"/>
          <w:szCs w:val="32"/>
          <w:lang w:eastAsia="zh-CN"/>
        </w:rPr>
        <w:t xml:space="preserve"> 初中、高中组</w:t>
      </w:r>
      <w:r>
        <w:rPr>
          <w:rFonts w:ascii="仿宋" w:hAnsi="仿宋" w:eastAsia="仿宋" w:cs="仿宋"/>
          <w:sz w:val="32"/>
          <w:szCs w:val="32"/>
          <w:lang w:eastAsia="zh-CN"/>
        </w:rPr>
        <w:t>“物品”示意图</w:t>
      </w:r>
    </w:p>
    <w:p>
      <w:pPr>
        <w:spacing w:before="78" w:line="221" w:lineRule="auto"/>
        <w:jc w:val="center"/>
        <w:rPr>
          <w:rFonts w:ascii="仿宋" w:hAnsi="仿宋" w:eastAsia="仿宋" w:cs="仿宋"/>
          <w:sz w:val="32"/>
          <w:szCs w:val="32"/>
          <w:lang w:eastAsia="zh-CN"/>
        </w:rPr>
      </w:pP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2.随机变换装置</w:t>
      </w:r>
    </w:p>
    <w:p>
      <w:pPr>
        <w:pStyle w:val="3"/>
        <w:spacing w:line="560" w:lineRule="exact"/>
        <w:ind w:firstLine="640" w:firstLineChars="200"/>
        <w:rPr>
          <w:rFonts w:ascii="仿宋_GB2312" w:hAnsi="仿宋_GB2312" w:eastAsia="仿宋_GB2312" w:cs="仿宋_GB2312"/>
          <w:color w:val="FF0000"/>
          <w:sz w:val="32"/>
          <w:szCs w:val="32"/>
          <w:highlight w:val="yellow"/>
          <w:lang w:eastAsia="zh-CN"/>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随机变换装置是让能够使机器人触发（机械触发）的一个装置，使得该装置随机向正对机器人的一面现实红、黄、绿三种颜色当中的一种（如图5、6），每次触发后机器人根据识别的颜色去搬运区搬运两个“对应颜色的物品”（装置触发后识别面所显示的颜色）。它固定在场地中的指定区域，其结构尺寸在现场公布。</w:t>
      </w:r>
    </w:p>
    <w:p>
      <w:pPr>
        <w:spacing w:before="144"/>
        <w:jc w:val="center"/>
        <w:rPr>
          <w:sz w:val="32"/>
          <w:szCs w:val="32"/>
        </w:rPr>
      </w:pPr>
      <w:r>
        <w:drawing>
          <wp:inline distT="0" distB="0" distL="114300" distR="114300">
            <wp:extent cx="4863465" cy="1144270"/>
            <wp:effectExtent l="0" t="0" r="13335" b="1778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rcRect t="11081" b="8330"/>
                    <a:stretch>
                      <a:fillRect/>
                    </a:stretch>
                  </pic:blipFill>
                  <pic:spPr>
                    <a:xfrm>
                      <a:off x="0" y="0"/>
                      <a:ext cx="4863465" cy="1144270"/>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5</w:t>
      </w:r>
      <w:r>
        <w:rPr>
          <w:rFonts w:ascii="仿宋" w:hAnsi="仿宋" w:eastAsia="仿宋" w:cs="仿宋"/>
          <w:sz w:val="32"/>
          <w:szCs w:val="32"/>
          <w:lang w:eastAsia="zh-CN"/>
        </w:rPr>
        <w:t xml:space="preserve">  </w:t>
      </w:r>
      <w:r>
        <w:rPr>
          <w:rFonts w:hint="eastAsia" w:ascii="仿宋" w:hAnsi="仿宋" w:eastAsia="仿宋" w:cs="仿宋"/>
          <w:sz w:val="32"/>
          <w:szCs w:val="32"/>
          <w:lang w:eastAsia="zh-CN"/>
        </w:rPr>
        <w:t>小学组</w:t>
      </w:r>
      <w:r>
        <w:rPr>
          <w:rFonts w:ascii="仿宋" w:hAnsi="仿宋" w:eastAsia="仿宋" w:cs="仿宋"/>
          <w:sz w:val="32"/>
          <w:szCs w:val="32"/>
          <w:lang w:eastAsia="zh-CN"/>
        </w:rPr>
        <w:t>随机变换装置及其显示的“物品”示意图</w:t>
      </w:r>
    </w:p>
    <w:p>
      <w:pPr>
        <w:spacing w:before="78" w:line="221" w:lineRule="auto"/>
        <w:jc w:val="center"/>
        <w:rPr>
          <w:rFonts w:ascii="仿宋" w:hAnsi="仿宋" w:eastAsia="仿宋" w:cs="仿宋"/>
          <w:sz w:val="32"/>
          <w:szCs w:val="32"/>
        </w:rPr>
      </w:pPr>
      <w:r>
        <w:drawing>
          <wp:inline distT="0" distB="0" distL="114300" distR="114300">
            <wp:extent cx="5048250" cy="1704975"/>
            <wp:effectExtent l="0" t="0" r="0" b="952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5048250" cy="1704975"/>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6</w:t>
      </w:r>
      <w:r>
        <w:rPr>
          <w:rFonts w:ascii="仿宋" w:hAnsi="仿宋" w:eastAsia="仿宋" w:cs="仿宋"/>
          <w:sz w:val="32"/>
          <w:szCs w:val="32"/>
          <w:lang w:eastAsia="zh-CN"/>
        </w:rPr>
        <w:t xml:space="preserve">  </w:t>
      </w:r>
      <w:r>
        <w:rPr>
          <w:rFonts w:hint="eastAsia" w:ascii="仿宋" w:hAnsi="仿宋" w:eastAsia="仿宋" w:cs="仿宋"/>
          <w:sz w:val="32"/>
          <w:szCs w:val="32"/>
          <w:lang w:eastAsia="zh-CN"/>
        </w:rPr>
        <w:t>初中、高中组</w:t>
      </w:r>
      <w:r>
        <w:rPr>
          <w:rFonts w:ascii="仿宋" w:hAnsi="仿宋" w:eastAsia="仿宋" w:cs="仿宋"/>
          <w:sz w:val="32"/>
          <w:szCs w:val="32"/>
          <w:lang w:eastAsia="zh-CN"/>
        </w:rPr>
        <w:t>随机变换装置及其显示的“物品”示意图</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3.障碍物</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场地中放置两种类型的障碍物，其材质、具体位置和高度均以现场公布为准。障碍区A的高度不超过2cm，障碍区B的高度不超过1cm，长度和宽度分别如图7所示。</w:t>
      </w:r>
    </w:p>
    <w:p>
      <w:pPr>
        <w:spacing w:line="418" w:lineRule="auto"/>
        <w:jc w:val="center"/>
        <w:rPr>
          <w:sz w:val="32"/>
          <w:szCs w:val="32"/>
        </w:rPr>
      </w:pPr>
      <w:r>
        <w:drawing>
          <wp:inline distT="0" distB="0" distL="114300" distR="114300">
            <wp:extent cx="4299585" cy="1896110"/>
            <wp:effectExtent l="0" t="0" r="5715" b="889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1"/>
                    <a:stretch>
                      <a:fillRect/>
                    </a:stretch>
                  </pic:blipFill>
                  <pic:spPr>
                    <a:xfrm>
                      <a:off x="0" y="0"/>
                      <a:ext cx="4299585" cy="1896110"/>
                    </a:xfrm>
                    <a:prstGeom prst="rect">
                      <a:avLst/>
                    </a:prstGeom>
                    <a:noFill/>
                    <a:ln>
                      <a:noFill/>
                    </a:ln>
                  </pic:spPr>
                </pic:pic>
              </a:graphicData>
            </a:graphic>
          </wp:inline>
        </w:drawing>
      </w:r>
    </w:p>
    <w:p>
      <w:pPr>
        <w:spacing w:before="78" w:line="221" w:lineRule="auto"/>
        <w:jc w:val="center"/>
        <w:rPr>
          <w:rFonts w:ascii="仿宋" w:hAnsi="仿宋" w:eastAsia="仿宋" w:cs="仿宋"/>
          <w:sz w:val="32"/>
          <w:szCs w:val="32"/>
          <w:lang w:eastAsia="zh-CN"/>
        </w:rPr>
      </w:pPr>
      <w:r>
        <w:rPr>
          <w:rFonts w:ascii="仿宋" w:hAnsi="仿宋" w:eastAsia="仿宋" w:cs="仿宋"/>
          <w:sz w:val="32"/>
          <w:szCs w:val="32"/>
          <w:lang w:eastAsia="zh-CN"/>
        </w:rPr>
        <w:t>图</w:t>
      </w:r>
      <w:r>
        <w:rPr>
          <w:rFonts w:hint="eastAsia" w:ascii="仿宋" w:hAnsi="仿宋" w:eastAsia="仿宋" w:cs="仿宋"/>
          <w:sz w:val="32"/>
          <w:szCs w:val="32"/>
          <w:lang w:eastAsia="zh-CN"/>
        </w:rPr>
        <w:t>7</w:t>
      </w:r>
      <w:r>
        <w:rPr>
          <w:rFonts w:ascii="仿宋" w:hAnsi="仿宋" w:eastAsia="仿宋" w:cs="仿宋"/>
          <w:sz w:val="32"/>
          <w:szCs w:val="32"/>
          <w:lang w:eastAsia="zh-CN"/>
        </w:rPr>
        <w:t xml:space="preserve">  “障碍物”形状及尺寸示意图</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4.物品传输装置</w:t>
      </w:r>
    </w:p>
    <w:p>
      <w:pPr>
        <w:pStyle w:val="3"/>
        <w:spacing w:line="560" w:lineRule="exact"/>
        <w:ind w:firstLine="640" w:firstLineChars="200"/>
        <w:rPr>
          <w:rFonts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sz w:val="32"/>
          <w:szCs w:val="32"/>
          <w:lang w:eastAsia="zh-CN"/>
        </w:rPr>
        <w:t>“物品传输装置”用于两台机器人之间交接、传输“物品”，其表面长度约30cm、宽度约8cm、离地高度不超过15cm，</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具体高度以现场公布为准。“物品传输装置”是采用传送带方式，它由机器人通过识别机器人I</w:t>
      </w:r>
      <w:r>
        <w:rPr>
          <w:rFonts w:ascii="仿宋_GB2312" w:hAnsi="仿宋_GB2312" w:eastAsia="仿宋_GB2312" w:cs="仿宋_GB2312"/>
          <w:color w:val="000000" w:themeColor="text1"/>
          <w:sz w:val="32"/>
          <w:szCs w:val="32"/>
          <w:highlight w:val="none"/>
          <w:lang w:eastAsia="zh-CN"/>
          <w14:textFill>
            <w14:solidFill>
              <w14:schemeClr w14:val="tx1"/>
            </w14:solidFill>
          </w14:textFill>
        </w:rPr>
        <w:t>C</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卡模块控制传送带移动，控制方式为接触式触发，每触发一次便让“物品”在水平方向上移动一段约25cm的距离。</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5.“有效物品”及“无效物品”</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在物品放置区和码垛区内（未出边框线）的物品为“有效物品”，场地上其他区域的物品均为“无效物品”。</w:t>
      </w:r>
    </w:p>
    <w:p>
      <w:pPr>
        <w:pStyle w:val="3"/>
        <w:spacing w:line="560" w:lineRule="exact"/>
        <w:ind w:firstLine="640" w:firstLineChars="200"/>
        <w:rPr>
          <w:rFonts w:ascii="黑体" w:hAnsi="黑体" w:eastAsia="黑体" w:cs="黑体"/>
          <w:sz w:val="32"/>
          <w:szCs w:val="32"/>
          <w:lang w:eastAsia="zh-CN"/>
        </w:rPr>
      </w:pPr>
      <w:r>
        <w:rPr>
          <w:rFonts w:hint="eastAsia" w:ascii="黑体" w:hAnsi="黑体" w:eastAsia="黑体" w:cs="黑体"/>
          <w:sz w:val="32"/>
          <w:szCs w:val="32"/>
          <w:lang w:eastAsia="zh-CN"/>
        </w:rPr>
        <w:t>四、技术要求</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highlight w:val="none"/>
          <w:lang w:eastAsia="zh-CN"/>
        </w:rPr>
        <w:t>小学组每支队伍使用1台机器人参加，初中、高中组（</w:t>
      </w:r>
      <w:r>
        <w:rPr>
          <w:rFonts w:hint="eastAsia" w:ascii="仿宋_GB2312" w:hAnsi="仿宋_GB2312" w:eastAsia="仿宋_GB2312" w:cs="仿宋_GB2312"/>
          <w:sz w:val="32"/>
          <w:szCs w:val="32"/>
          <w:highlight w:val="none"/>
          <w:lang w:val="en-US" w:eastAsia="zh-CN"/>
        </w:rPr>
        <w:t>含中职</w:t>
      </w:r>
      <w:r>
        <w:rPr>
          <w:rFonts w:hint="eastAsia" w:ascii="仿宋_GB2312" w:hAnsi="仿宋_GB2312" w:eastAsia="仿宋_GB2312" w:cs="仿宋_GB2312"/>
          <w:sz w:val="32"/>
          <w:szCs w:val="32"/>
          <w:highlight w:val="none"/>
          <w:lang w:eastAsia="zh-CN"/>
        </w:rPr>
        <w:t>）每支队伍</w:t>
      </w:r>
      <w:r>
        <w:rPr>
          <w:rFonts w:hint="eastAsia" w:ascii="仿宋_GB2312" w:hAnsi="仿宋_GB2312" w:eastAsia="仿宋_GB2312" w:cs="仿宋_GB2312"/>
          <w:sz w:val="32"/>
          <w:szCs w:val="32"/>
          <w:highlight w:val="none"/>
          <w:lang w:val="en-US" w:eastAsia="zh-CN"/>
        </w:rPr>
        <w:t>最多</w:t>
      </w:r>
      <w:r>
        <w:rPr>
          <w:rFonts w:hint="eastAsia" w:ascii="仿宋_GB2312" w:hAnsi="仿宋_GB2312" w:eastAsia="仿宋_GB2312" w:cs="仿宋_GB2312"/>
          <w:sz w:val="32"/>
          <w:szCs w:val="32"/>
          <w:highlight w:val="none"/>
          <w:lang w:eastAsia="zh-CN"/>
        </w:rPr>
        <w:t>使用2台机器人参加。</w:t>
      </w:r>
      <w:r>
        <w:rPr>
          <w:rFonts w:hint="eastAsia" w:ascii="仿宋_GB2312" w:hAnsi="仿宋_GB2312" w:eastAsia="仿宋_GB2312" w:cs="仿宋_GB2312"/>
          <w:sz w:val="32"/>
          <w:szCs w:val="32"/>
          <w:lang w:eastAsia="zh-CN"/>
        </w:rPr>
        <w:t>（机器人完成“物品”码垛任务分为基本任务和挑战任务。基本任务由1台机器人完成，挑战任务由2台机器人协同完成。）</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2.利用套装机器人加以改造或自行设计并制作的轮式或履带式机器人均可参与展示，提倡使用开源硬件自行设计制作机器人。机器人能够充分适应现场活动场地和物料以及环境因素。</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3.机器人在起始区内的长、宽、高上限分别为30cm×30cm×30cm，不得超过规定尺寸，重量不作限制要求；在俯视投影完全离开起始区之后其尺寸不再受限。</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4.允许使用遥控器启动机器人，但不允许使用遥控器控制和引导机器人的运行，机器人必须通过程序实现自主运行。</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5.在完成任务的过程中，机器人要具备对场地上的引导线、“物品”形状、颜色识别和对位置测量的能力。</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6.在设计制作机器人时，应充分考虑诸如光源、各种电气设备、杂音、变化的光线和场地表面等环境因素对机器人运行所产生的干扰和影响，使机器人能够适应现场的环境条件克服不利因素去完成任务。</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7.如果需要更换结构件，机器人必须返回到各自的起始区，期间计时不停止。</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在完成任务期间，若机器人发生停滞不动超过30秒或冲出场地（机器人垂直投影出外围边框线），学生可以申请将机器人拿回起返区重启，重启仅适用于上述情况发生之时，期间计时不停止并记录启动的次数，重启不能用于更换部件或进行维修。</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9.比赛不分初赛与复赛，只进行一轮比赛，比赛开始前至少有90分钟的机器人搭建和程序调试时间。具体比赛调试时长，统一由裁判组根据实际情况调整，并在调试前向所有参赛队伍宣布。</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.完成基本任务和挑战任务的总时长为5分钟，机器人在规定时间内完成的任务有效，期间不能触碰机器人（机器人重启除外）否则视为本次展示结束。</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重启</w:t>
      </w:r>
    </w:p>
    <w:p>
      <w:pPr>
        <w:pStyle w:val="3"/>
        <w:spacing w:line="560" w:lineRule="exact"/>
        <w:ind w:firstLine="640" w:firstLineChars="200"/>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为了鼓励参赛队提高程序稳定性并优化参赛策略，比赛计时开始，在任务全程每发生一次重置，</w:t>
      </w:r>
      <w:r>
        <w:rPr>
          <w:rFonts w:hint="eastAsia" w:ascii="仿宋_GB2312" w:hAnsi="仿宋_GB2312" w:eastAsia="仿宋_GB2312" w:cs="仿宋_GB2312"/>
          <w:sz w:val="32"/>
          <w:szCs w:val="32"/>
          <w:lang w:val="en-US" w:eastAsia="zh-CN"/>
        </w:rPr>
        <w:t>记一次重置次数</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以下情况需要将机器人重置回启动区：</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①选手向裁判申请重置的；</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②机器人脱离比赛场地的；</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③选手未经允许接触任务模型或机器人的；</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lang w:eastAsia="zh-CN"/>
        </w:rPr>
        <w:t>.机器人在起始区内启动后即开始计时，完成“物品”码垛的机器人垂直投影完全进入返回区且静止，视为任务结束并计时停止，本次展示结束。</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lang w:eastAsia="zh-CN"/>
        </w:rPr>
        <w:t>.排名</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某一组别的全部比赛结束后，按参赛队的总分进行排名。如果出现局部持平，按以下顺序破平：</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①用时较少者排名靠前；</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②重置次数较少者排名靠前；</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③机器人电机和传感器数量合计较少者排名靠前。</w:t>
      </w:r>
    </w:p>
    <w:p>
      <w:pPr>
        <w:pStyle w:val="3"/>
        <w:spacing w:line="560" w:lineRule="exact"/>
        <w:ind w:firstLine="640" w:firstLineChars="200"/>
        <w:rPr>
          <w:rFonts w:hint="eastAsia" w:ascii="仿宋_GB2312" w:hAnsi="仿宋_GB2312" w:eastAsia="仿宋_GB2312" w:cs="仿宋_GB2312"/>
          <w:sz w:val="32"/>
          <w:szCs w:val="32"/>
          <w:lang w:eastAsia="zh-CN"/>
        </w:rPr>
      </w:pPr>
    </w:p>
    <w:p>
      <w:pPr>
        <w:pStyle w:val="3"/>
        <w:spacing w:line="560" w:lineRule="exact"/>
        <w:ind w:firstLine="640" w:firstLineChars="200"/>
        <w:rPr>
          <w:rFonts w:ascii="黑体" w:hAnsi="黑体" w:eastAsia="黑体" w:cs="黑体"/>
          <w:sz w:val="32"/>
          <w:szCs w:val="32"/>
          <w:lang w:eastAsia="zh-CN"/>
        </w:rPr>
      </w:pPr>
      <w:r>
        <w:rPr>
          <w:rFonts w:hint="eastAsia" w:ascii="黑体" w:hAnsi="黑体" w:eastAsia="黑体" w:cs="黑体"/>
          <w:sz w:val="32"/>
          <w:szCs w:val="32"/>
          <w:lang w:eastAsia="zh-CN"/>
        </w:rPr>
        <w:t>五、任务描述</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1.场地内的道具（如任务物品、随机变换装置、障碍物等）均以现场提供为准。</w:t>
      </w:r>
    </w:p>
    <w:p>
      <w:pPr>
        <w:pStyle w:val="3"/>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.机器人完成“物品”码垛任务分为基本任务和挑战任务。基本任务由1台机器人完成，挑战任务由2台机器人协同完成。</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在完成基本任务的基础上，可做挑战任务，挑战任务所搬运的“物品”需经过物品传输装置，机器人能够对“物品”实现分类并相互协同完成码垛任务。挑战任务具有一定的难度和挑战性，具体任务在现场公布。在放置区域搬运“物品”的机器人和码垛区域码垛的机器人，各自在规定的区域自主运行，期间均不得越过场地中间的橙色双点划线。</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基本任务</w:t>
      </w:r>
    </w:p>
    <w:p>
      <w:pPr>
        <w:pStyle w:val="3"/>
        <w:spacing w:line="560" w:lineRule="exact"/>
        <w:ind w:firstLine="640" w:firstLineChars="200"/>
        <w:rPr>
          <w:rFonts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sz w:val="32"/>
          <w:szCs w:val="32"/>
          <w:lang w:eastAsia="zh-CN"/>
        </w:rPr>
        <w:t>①小学组：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机器人从起始区出发，越过障碍区B（不能绕行）后，自行规划后续路线。机器人行进至随机变换装置附近触发1次后，将同</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颜色</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的2个“物品”搬运至“物品”码垛区，并将其码垛至现场抽取的所在位置。</w:t>
      </w:r>
    </w:p>
    <w:p>
      <w:pPr>
        <w:pStyle w:val="3"/>
        <w:spacing w:line="560" w:lineRule="exact"/>
        <w:ind w:firstLine="640" w:firstLineChars="200"/>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②初中组：机器人从起返区出发，越过障碍区A或B（不能绕行）后，自行规划后续路线。机器人行进至随机变换装置附近触发1次，将</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同颜色</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的2个“物品”搬运至“物品”码垛区，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对应形状不限，</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并将其码垛至现场抽取的所在位置。</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③高中组（</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含中职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）：机器人从起返区出发，越过障碍区A或B（不能绕行）后，自行规划后续路线。机器人行进至随机变换装置附近触发2次，两次触发不能连续完成，触发一次后需先将“物品”搬运至码垛区后再触发第2次，</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第一次触发将齿条完全推入随机变换装置，第二次触发将齿条完全拉出随机变换装置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。每触发1次，将同</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颜色</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的2个“物品</w:t>
      </w:r>
      <w:r>
        <w:rPr>
          <w:rFonts w:hint="eastAsia" w:ascii="仿宋_GB2312" w:hAnsi="仿宋_GB2312" w:eastAsia="仿宋_GB2312" w:cs="仿宋_GB2312"/>
          <w:sz w:val="32"/>
          <w:szCs w:val="32"/>
          <w:lang w:eastAsia="zh-CN"/>
        </w:rPr>
        <w:t>”搬运至“物品”码垛区，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对应形状不限，</w:t>
      </w:r>
      <w:r>
        <w:rPr>
          <w:rFonts w:hint="eastAsia" w:ascii="仿宋_GB2312" w:hAnsi="仿宋_GB2312" w:eastAsia="仿宋_GB2312" w:cs="仿宋_GB2312"/>
          <w:sz w:val="32"/>
          <w:szCs w:val="32"/>
          <w:lang w:eastAsia="zh-CN"/>
        </w:rPr>
        <w:t>并将其码垛至现场抽取的</w:t>
      </w:r>
      <w:r>
        <w:rPr>
          <w:rFonts w:hint="eastAsia" w:ascii="仿宋_GB2312" w:hAnsi="仿宋_GB2312" w:eastAsia="仿宋_GB2312" w:cs="仿宋_GB2312"/>
          <w:sz w:val="32"/>
          <w:szCs w:val="32"/>
          <w:lang w:val="en-US" w:eastAsia="zh-CN"/>
        </w:rPr>
        <w:t>2个</w:t>
      </w:r>
      <w:r>
        <w:rPr>
          <w:rFonts w:hint="eastAsia" w:ascii="仿宋_GB2312" w:hAnsi="仿宋_GB2312" w:eastAsia="仿宋_GB2312" w:cs="仿宋_GB2312"/>
          <w:sz w:val="32"/>
          <w:szCs w:val="32"/>
          <w:lang w:eastAsia="zh-CN"/>
        </w:rPr>
        <w:t>所在位置</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.挑战任务</w:t>
      </w:r>
    </w:p>
    <w:p>
      <w:pPr>
        <w:pStyle w:val="3"/>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①小学组：在完成基本任务的基础上，</w:t>
      </w:r>
      <w:r>
        <w:rPr>
          <w:rFonts w:hint="eastAsia" w:ascii="仿宋_GB2312" w:hAnsi="仿宋_GB2312" w:eastAsia="仿宋_GB2312" w:cs="仿宋_GB2312"/>
          <w:sz w:val="32"/>
          <w:szCs w:val="32"/>
          <w:lang w:val="en-US" w:eastAsia="zh-CN"/>
        </w:rPr>
        <w:t>不设置挑战任务。</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②初中、高中组（</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在完成基本任务的基础上，可做挑战任务，挑战任务所搬运的“物品”需经过物品传输装置，机器人能够对“物品”实现分类并相互协同完成码垛任务。</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挑战任务由裁判在比赛开始前抽签决定挑战任务所需搬运“物品”颜色，将指定的两个“物品”，由搬运“物品”的机器人将指定的“物品”放置在物品传输装置上，通过物品传输装置将“物品”运送至码垛区，由码垛区域机器人将其码垛至现场抽取的位置。在放置</w:t>
      </w:r>
      <w:r>
        <w:rPr>
          <w:rFonts w:hint="eastAsia" w:ascii="仿宋_GB2312" w:hAnsi="仿宋_GB2312" w:eastAsia="仿宋_GB2312" w:cs="仿宋_GB2312"/>
          <w:sz w:val="32"/>
          <w:szCs w:val="32"/>
          <w:lang w:eastAsia="zh-CN"/>
        </w:rPr>
        <w:t>区域搬运“物品”的机器人和码垛区域码垛的机器人，各自在规定的区域自主运行，期间均不得越过场地中间的橙色双点划线。</w:t>
      </w:r>
    </w:p>
    <w:p>
      <w:pPr>
        <w:pStyle w:val="3"/>
        <w:spacing w:line="560" w:lineRule="exact"/>
        <w:ind w:firstLine="640" w:firstLineChars="20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机器人在码垛“物品”时，“物品”完全放入码垛区的标识圆圈内表示任务完成度最高。“物品”超出码垛区边框线或码垛的位置或与之前抽取的位置不一致、非任务“物品”被移动或错误放置到码垛区，均影响任务的完成度。</w:t>
      </w:r>
    </w:p>
    <w:p>
      <w:pPr>
        <w:rPr>
          <w:rFonts w:hint="eastAsia" w:ascii="仿宋_GB2312" w:hAnsi="仿宋_GB2312" w:eastAsia="仿宋_GB2312" w:cs="仿宋_GB2312"/>
          <w:sz w:val="32"/>
          <w:szCs w:val="32"/>
          <w:lang w:eastAsia="zh-CN"/>
        </w:rPr>
      </w:pPr>
    </w:p>
    <w:p>
      <w:pP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br w:type="page"/>
      </w:r>
    </w:p>
    <w:p>
      <w:pPr>
        <w:pStyle w:val="3"/>
        <w:spacing w:line="560" w:lineRule="exact"/>
        <w:rPr>
          <w:rFonts w:ascii="黑体" w:hAnsi="黑体" w:eastAsia="黑体" w:cs="黑体"/>
          <w:sz w:val="32"/>
          <w:szCs w:val="32"/>
          <w:lang w:eastAsia="zh-CN"/>
        </w:rPr>
      </w:pPr>
      <w:r>
        <w:rPr>
          <w:rFonts w:hint="eastAsia" w:ascii="黑体" w:hAnsi="黑体" w:eastAsia="黑体" w:cs="黑体"/>
          <w:sz w:val="32"/>
          <w:szCs w:val="32"/>
          <w:lang w:eastAsia="zh-CN"/>
        </w:rPr>
        <w:t>附件1：</w:t>
      </w:r>
    </w:p>
    <w:p>
      <w:pPr>
        <w:pStyle w:val="3"/>
        <w:spacing w:before="120" w:beforeLines="50" w:after="120" w:afterLines="50" w:line="226" w:lineRule="auto"/>
        <w:jc w:val="center"/>
        <w:rPr>
          <w:rFonts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40"/>
          <w:szCs w:val="40"/>
          <w:lang w:eastAsia="zh-CN"/>
        </w:rPr>
        <w:t>轮式或履带式行走机器人</w:t>
      </w:r>
      <w:r>
        <w:rPr>
          <w:rFonts w:hint="eastAsia" w:ascii="方正小标宋简体" w:hAnsi="方正小标宋简体" w:eastAsia="方正小标宋简体" w:cs="方正小标宋简体"/>
          <w:sz w:val="36"/>
          <w:szCs w:val="36"/>
          <w:lang w:eastAsia="zh-CN"/>
        </w:rPr>
        <w:t>任务评分表</w:t>
      </w:r>
    </w:p>
    <w:p>
      <w:pPr>
        <w:pStyle w:val="3"/>
        <w:spacing w:line="560" w:lineRule="exact"/>
        <w:ind w:firstLine="640" w:firstLineChars="200"/>
        <w:rPr>
          <w:rFonts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组别：</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 xml:space="preserve">           队员：</w:t>
      </w:r>
      <w:r>
        <w:rPr>
          <w:rFonts w:hint="eastAsia" w:ascii="仿宋_GB2312" w:hAnsi="仿宋_GB2312" w:eastAsia="仿宋_GB2312" w:cs="仿宋_GB2312"/>
          <w:sz w:val="32"/>
          <w:szCs w:val="32"/>
          <w:u w:val="single"/>
          <w:lang w:eastAsia="zh-CN"/>
        </w:rPr>
        <w:t xml:space="preserve">                </w:t>
      </w:r>
    </w:p>
    <w:tbl>
      <w:tblPr>
        <w:tblStyle w:val="7"/>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074"/>
        <w:gridCol w:w="2137"/>
        <w:gridCol w:w="1975"/>
        <w:gridCol w:w="1038"/>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936" w:type="dxa"/>
            <w:gridSpan w:val="4"/>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任务</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分值</w:t>
            </w:r>
          </w:p>
        </w:tc>
        <w:tc>
          <w:tcPr>
            <w:tcW w:w="80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restart"/>
            <w:vAlign w:val="center"/>
          </w:tcPr>
          <w:p>
            <w:pPr>
              <w:pStyle w:val="3"/>
              <w:widowControl/>
              <w:jc w:val="center"/>
              <w:rPr>
                <w:rFonts w:ascii="微软雅黑" w:hAnsi="微软雅黑" w:eastAsia="微软雅黑" w:cs="微软雅黑"/>
                <w:sz w:val="22"/>
                <w:szCs w:val="22"/>
              </w:rPr>
            </w:pPr>
            <w:r>
              <w:rPr>
                <w:rFonts w:hint="eastAsia" w:ascii="微软雅黑" w:hAnsi="微软雅黑" w:eastAsia="微软雅黑" w:cs="微软雅黑"/>
                <w:sz w:val="22"/>
                <w:szCs w:val="22"/>
              </w:rPr>
              <w:t>基本</w:t>
            </w:r>
          </w:p>
          <w:p>
            <w:pPr>
              <w:pStyle w:val="3"/>
              <w:widowControl/>
              <w:jc w:val="center"/>
              <w:rPr>
                <w:rFonts w:ascii="微软雅黑" w:hAnsi="微软雅黑" w:eastAsia="微软雅黑" w:cs="微软雅黑"/>
                <w:sz w:val="21"/>
                <w:szCs w:val="21"/>
                <w:lang w:eastAsia="zh-CN"/>
              </w:rPr>
            </w:pPr>
            <w:r>
              <w:rPr>
                <w:rFonts w:hint="eastAsia" w:ascii="微软雅黑" w:hAnsi="微软雅黑" w:eastAsia="微软雅黑" w:cs="微软雅黑"/>
                <w:sz w:val="22"/>
                <w:szCs w:val="22"/>
              </w:rPr>
              <w:t>任务</w:t>
            </w:r>
          </w:p>
        </w:tc>
        <w:tc>
          <w:tcPr>
            <w:tcW w:w="2074"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顺利出发</w:t>
            </w:r>
          </w:p>
        </w:tc>
        <w:tc>
          <w:tcPr>
            <w:tcW w:w="4112" w:type="dxa"/>
            <w:gridSpan w:val="2"/>
            <w:vAlign w:val="center"/>
          </w:tcPr>
          <w:p>
            <w:pPr>
              <w:pStyle w:val="3"/>
              <w:widowControl/>
              <w:jc w:val="center"/>
              <w:rPr>
                <w:rFonts w:ascii="微软雅黑" w:hAnsi="微软雅黑" w:eastAsia="微软雅黑" w:cs="微软雅黑"/>
                <w:sz w:val="20"/>
                <w:szCs w:val="20"/>
                <w:lang w:eastAsia="zh-CN"/>
              </w:rPr>
            </w:pPr>
            <w:r>
              <w:rPr>
                <w:rFonts w:hint="eastAsia" w:ascii="微软雅黑" w:hAnsi="微软雅黑" w:eastAsia="微软雅黑" w:cs="微软雅黑"/>
                <w:sz w:val="20"/>
                <w:szCs w:val="20"/>
                <w:lang w:eastAsia="zh-CN"/>
              </w:rPr>
              <w:t>车辆投影完全脱离起始区</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成功穿越障碍区</w:t>
            </w:r>
          </w:p>
        </w:tc>
        <w:tc>
          <w:tcPr>
            <w:tcW w:w="4112"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成功穿越障碍区A或B</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触发</w:t>
            </w:r>
            <w:r>
              <w:rPr>
                <w:rFonts w:hint="eastAsia" w:ascii="微软雅黑" w:hAnsi="微软雅黑" w:eastAsia="微软雅黑" w:cs="微软雅黑"/>
                <w:sz w:val="22"/>
                <w:szCs w:val="22"/>
              </w:rPr>
              <w:t>随机变换装置</w:t>
            </w:r>
          </w:p>
        </w:tc>
        <w:tc>
          <w:tcPr>
            <w:tcW w:w="4112"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成功触发随机变换装置，小学组1次，初中组1次，高中组2次</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50分/次</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拿取物品</w:t>
            </w:r>
          </w:p>
        </w:tc>
        <w:tc>
          <w:tcPr>
            <w:tcW w:w="4112" w:type="dxa"/>
            <w:gridSpan w:val="2"/>
            <w:vAlign w:val="center"/>
          </w:tcPr>
          <w:p>
            <w:pPr>
              <w:pStyle w:val="3"/>
              <w:widowControl/>
              <w:jc w:val="center"/>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eastAsia="zh-CN"/>
              </w:rPr>
              <w:t>按照随机变换装置显示的“物品”颜色，将同</w:t>
            </w:r>
            <w:r>
              <w:rPr>
                <w:rFonts w:hint="eastAsia" w:ascii="微软雅黑" w:hAnsi="微软雅黑" w:eastAsia="微软雅黑" w:cs="微软雅黑"/>
                <w:sz w:val="22"/>
                <w:szCs w:val="22"/>
                <w:lang w:val="en-US" w:eastAsia="zh-CN"/>
              </w:rPr>
              <w:t>颜色</w:t>
            </w:r>
            <w:r>
              <w:rPr>
                <w:rFonts w:hint="eastAsia" w:ascii="微软雅黑" w:hAnsi="微软雅黑" w:eastAsia="微软雅黑" w:cs="微软雅黑"/>
                <w:sz w:val="22"/>
                <w:szCs w:val="22"/>
                <w:lang w:eastAsia="zh-CN"/>
              </w:rPr>
              <w:t>的2个“物品”</w:t>
            </w:r>
            <w:r>
              <w:rPr>
                <w:rFonts w:hint="eastAsia" w:ascii="微软雅黑" w:hAnsi="微软雅黑" w:eastAsia="微软雅黑" w:cs="微软雅黑"/>
                <w:sz w:val="22"/>
                <w:szCs w:val="22"/>
                <w:lang w:val="en-US" w:eastAsia="zh-CN"/>
              </w:rPr>
              <w:t>带离放置区</w:t>
            </w:r>
          </w:p>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（高中组因触发随机变换装置为2次，故可以取走的数量为4个）</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50分/个</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Merge w:val="restart"/>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放置物品</w:t>
            </w:r>
          </w:p>
        </w:tc>
        <w:tc>
          <w:tcPr>
            <w:tcW w:w="2137" w:type="dxa"/>
            <w:vMerge w:val="restart"/>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将同</w:t>
            </w:r>
            <w:r>
              <w:rPr>
                <w:rFonts w:hint="eastAsia" w:ascii="微软雅黑" w:hAnsi="微软雅黑" w:eastAsia="微软雅黑" w:cs="微软雅黑"/>
                <w:sz w:val="22"/>
                <w:szCs w:val="22"/>
                <w:lang w:val="en-US" w:eastAsia="zh-CN"/>
              </w:rPr>
              <w:t>颜色</w:t>
            </w:r>
            <w:r>
              <w:rPr>
                <w:rFonts w:hint="eastAsia" w:ascii="微软雅黑" w:hAnsi="微软雅黑" w:eastAsia="微软雅黑" w:cs="微软雅黑"/>
                <w:sz w:val="22"/>
                <w:szCs w:val="22"/>
                <w:lang w:eastAsia="zh-CN"/>
              </w:rPr>
              <w:t>的2个“物品”搬运至“物品”码垛区，并将其码垛至现场抽取的所在位置。</w:t>
            </w:r>
          </w:p>
        </w:tc>
        <w:tc>
          <w:tcPr>
            <w:tcW w:w="1975" w:type="dxa"/>
            <w:vAlign w:val="center"/>
          </w:tcPr>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完全放入码垛区的标识圆圈内</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50分/个</w:t>
            </w:r>
          </w:p>
        </w:tc>
        <w:tc>
          <w:tcPr>
            <w:tcW w:w="808" w:type="dxa"/>
            <w:vMerge w:val="restart"/>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Merge w:val="continue"/>
            <w:vAlign w:val="center"/>
          </w:tcPr>
          <w:p>
            <w:pPr>
              <w:pStyle w:val="3"/>
              <w:widowControl/>
              <w:jc w:val="center"/>
              <w:rPr>
                <w:rFonts w:hint="eastAsia" w:ascii="微软雅黑" w:hAnsi="微软雅黑" w:eastAsia="微软雅黑" w:cs="微软雅黑"/>
                <w:sz w:val="22"/>
                <w:szCs w:val="22"/>
                <w:lang w:eastAsia="zh-CN"/>
              </w:rPr>
            </w:pPr>
          </w:p>
        </w:tc>
        <w:tc>
          <w:tcPr>
            <w:tcW w:w="2137" w:type="dxa"/>
            <w:vMerge w:val="continue"/>
            <w:vAlign w:val="center"/>
          </w:tcPr>
          <w:p>
            <w:pPr>
              <w:pStyle w:val="3"/>
              <w:widowControl/>
              <w:jc w:val="center"/>
              <w:rPr>
                <w:rFonts w:hint="eastAsia" w:ascii="微软雅黑" w:hAnsi="微软雅黑" w:eastAsia="微软雅黑" w:cs="微软雅黑"/>
                <w:sz w:val="22"/>
                <w:szCs w:val="22"/>
                <w:lang w:eastAsia="zh-CN"/>
              </w:rPr>
            </w:pPr>
          </w:p>
        </w:tc>
        <w:tc>
          <w:tcPr>
            <w:tcW w:w="1975" w:type="dxa"/>
            <w:vAlign w:val="center"/>
          </w:tcPr>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超出码垛区标识圆圈内</w:t>
            </w:r>
            <w:r>
              <w:rPr>
                <w:rFonts w:hint="eastAsia" w:ascii="微软雅黑" w:hAnsi="微软雅黑" w:eastAsia="微软雅黑" w:cs="微软雅黑"/>
                <w:sz w:val="22"/>
                <w:szCs w:val="22"/>
                <w:lang w:val="en-US" w:eastAsia="zh-CN"/>
              </w:rPr>
              <w:t>但未超出</w:t>
            </w:r>
            <w:r>
              <w:rPr>
                <w:rFonts w:hint="eastAsia" w:ascii="微软雅黑" w:hAnsi="微软雅黑" w:eastAsia="微软雅黑" w:cs="微软雅黑"/>
                <w:sz w:val="22"/>
                <w:szCs w:val="22"/>
                <w:lang w:eastAsia="zh-CN"/>
              </w:rPr>
              <w:t>边框线</w:t>
            </w:r>
          </w:p>
        </w:tc>
        <w:tc>
          <w:tcPr>
            <w:tcW w:w="1038" w:type="dxa"/>
            <w:vAlign w:val="center"/>
          </w:tcPr>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val="en-US" w:eastAsia="zh-CN"/>
              </w:rPr>
              <w:t>20</w:t>
            </w:r>
            <w:r>
              <w:rPr>
                <w:rFonts w:hint="eastAsia" w:ascii="微软雅黑" w:hAnsi="微软雅黑" w:eastAsia="微软雅黑" w:cs="微软雅黑"/>
                <w:sz w:val="22"/>
                <w:szCs w:val="22"/>
                <w:lang w:eastAsia="zh-CN"/>
              </w:rPr>
              <w:t>分/个</w:t>
            </w:r>
          </w:p>
        </w:tc>
        <w:tc>
          <w:tcPr>
            <w:tcW w:w="808" w:type="dxa"/>
            <w:vMerge w:val="continue"/>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widowControl/>
              <w:jc w:val="center"/>
              <w:rPr>
                <w:rFonts w:ascii="微软雅黑" w:hAnsi="微软雅黑" w:eastAsia="微软雅黑" w:cs="微软雅黑"/>
                <w:sz w:val="21"/>
                <w:szCs w:val="21"/>
                <w:lang w:eastAsia="zh-CN"/>
              </w:rPr>
            </w:pPr>
          </w:p>
        </w:tc>
        <w:tc>
          <w:tcPr>
            <w:tcW w:w="2074"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成功返回</w:t>
            </w:r>
          </w:p>
        </w:tc>
        <w:tc>
          <w:tcPr>
            <w:tcW w:w="4112"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机器人垂直投影完全进入返回区且静止</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50分</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Align w:val="center"/>
          </w:tcPr>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挑战</w:t>
            </w:r>
          </w:p>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任务</w:t>
            </w:r>
          </w:p>
        </w:tc>
        <w:tc>
          <w:tcPr>
            <w:tcW w:w="6186" w:type="dxa"/>
            <w:gridSpan w:val="3"/>
            <w:vAlign w:val="center"/>
          </w:tcPr>
          <w:p>
            <w:pPr>
              <w:pStyle w:val="3"/>
              <w:widowControl/>
              <w:jc w:val="center"/>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小学组不设置挑战任务</w:t>
            </w:r>
          </w:p>
          <w:p>
            <w:pPr>
              <w:pStyle w:val="3"/>
              <w:widowControl/>
              <w:jc w:val="center"/>
              <w:rPr>
                <w:rFonts w:hint="eastAsia" w:ascii="微软雅黑" w:hAnsi="微软雅黑" w:eastAsia="微软雅黑" w:cs="微软雅黑"/>
                <w:sz w:val="22"/>
                <w:szCs w:val="22"/>
                <w:lang w:eastAsia="zh-CN"/>
              </w:rPr>
            </w:pPr>
            <w:r>
              <w:rPr>
                <w:rFonts w:hint="eastAsia" w:ascii="微软雅黑" w:hAnsi="微软雅黑" w:eastAsia="微软雅黑" w:cs="微软雅黑"/>
                <w:sz w:val="22"/>
                <w:szCs w:val="22"/>
                <w:lang w:val="en-US" w:eastAsia="zh-CN"/>
              </w:rPr>
              <w:t>初中、高中（含中职）：</w:t>
            </w:r>
            <w:r>
              <w:rPr>
                <w:rFonts w:hint="eastAsia" w:ascii="微软雅黑" w:hAnsi="微软雅黑" w:eastAsia="微软雅黑" w:cs="微软雅黑"/>
                <w:sz w:val="22"/>
                <w:szCs w:val="22"/>
                <w:lang w:eastAsia="zh-CN"/>
              </w:rPr>
              <w:t>搬运的“物品”需经过物品传输装置，机器人能够对“物品”实现分类并相互协同完成码垛任务</w:t>
            </w:r>
          </w:p>
        </w:tc>
        <w:tc>
          <w:tcPr>
            <w:tcW w:w="1038" w:type="dxa"/>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100分</w:t>
            </w:r>
          </w:p>
        </w:tc>
        <w:tc>
          <w:tcPr>
            <w:tcW w:w="808" w:type="dxa"/>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24"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重启次数</w:t>
            </w:r>
          </w:p>
        </w:tc>
        <w:tc>
          <w:tcPr>
            <w:tcW w:w="5958" w:type="dxa"/>
            <w:gridSpan w:val="4"/>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24"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整场用时</w:t>
            </w:r>
          </w:p>
        </w:tc>
        <w:tc>
          <w:tcPr>
            <w:tcW w:w="5958" w:type="dxa"/>
            <w:gridSpan w:val="4"/>
            <w:vAlign w:val="center"/>
          </w:tcPr>
          <w:p>
            <w:pPr>
              <w:pStyle w:val="3"/>
              <w:widowControl/>
              <w:jc w:val="center"/>
              <w:rPr>
                <w:rFonts w:ascii="微软雅黑" w:hAnsi="微软雅黑" w:eastAsia="微软雅黑" w:cs="微软雅黑"/>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24" w:type="dxa"/>
            <w:gridSpan w:val="2"/>
            <w:vAlign w:val="center"/>
          </w:tcPr>
          <w:p>
            <w:pPr>
              <w:pStyle w:val="3"/>
              <w:widowControl/>
              <w:jc w:val="center"/>
              <w:rPr>
                <w:rFonts w:ascii="微软雅黑" w:hAnsi="微软雅黑" w:eastAsia="微软雅黑" w:cs="微软雅黑"/>
                <w:sz w:val="22"/>
                <w:szCs w:val="22"/>
                <w:lang w:eastAsia="zh-CN"/>
              </w:rPr>
            </w:pPr>
            <w:r>
              <w:rPr>
                <w:rFonts w:hint="eastAsia" w:ascii="微软雅黑" w:hAnsi="微软雅黑" w:eastAsia="微软雅黑" w:cs="微软雅黑"/>
                <w:sz w:val="22"/>
                <w:szCs w:val="22"/>
                <w:lang w:eastAsia="zh-CN"/>
              </w:rPr>
              <w:t>比赛总得分</w:t>
            </w:r>
          </w:p>
        </w:tc>
        <w:tc>
          <w:tcPr>
            <w:tcW w:w="5958" w:type="dxa"/>
            <w:gridSpan w:val="4"/>
            <w:vAlign w:val="center"/>
          </w:tcPr>
          <w:p>
            <w:pPr>
              <w:pStyle w:val="3"/>
              <w:widowControl/>
              <w:jc w:val="center"/>
              <w:rPr>
                <w:rFonts w:ascii="微软雅黑" w:hAnsi="微软雅黑" w:eastAsia="微软雅黑" w:cs="微软雅黑"/>
                <w:sz w:val="22"/>
                <w:szCs w:val="22"/>
                <w:lang w:eastAsia="zh-CN"/>
              </w:rPr>
            </w:pPr>
            <w:bookmarkStart w:id="0" w:name="_GoBack"/>
            <w:bookmarkEnd w:id="0"/>
          </w:p>
        </w:tc>
      </w:tr>
    </w:tbl>
    <w:p>
      <w:pPr>
        <w:pStyle w:val="3"/>
        <w:rPr>
          <w:rFonts w:ascii="仿宋_GB2312" w:hAnsi="仿宋_GB2312" w:eastAsia="仿宋_GB2312" w:cs="仿宋_GB2312"/>
          <w:sz w:val="32"/>
          <w:szCs w:val="32"/>
          <w:u w:val="single"/>
          <w:lang w:eastAsia="zh-CN"/>
        </w:rPr>
      </w:pPr>
    </w:p>
    <w:p>
      <w:pPr>
        <w:pStyle w:val="3"/>
        <w:spacing w:line="560" w:lineRule="exact"/>
        <w:ind w:firstLine="320" w:firstLineChars="100"/>
        <w:rPr>
          <w:rFonts w:ascii="仿宋_GB2312" w:hAnsi="仿宋_GB2312" w:eastAsia="仿宋_GB2312" w:cs="仿宋_GB2312"/>
          <w:sz w:val="32"/>
          <w:szCs w:val="32"/>
          <w:u w:val="single"/>
          <w:lang w:eastAsia="zh-CN"/>
        </w:rPr>
      </w:pPr>
      <w:r>
        <w:rPr>
          <w:rFonts w:hint="eastAsia" w:ascii="仿宋_GB2312" w:hAnsi="仿宋_GB2312" w:eastAsia="仿宋_GB2312" w:cs="仿宋_GB2312"/>
          <w:sz w:val="32"/>
          <w:szCs w:val="32"/>
          <w:lang w:eastAsia="zh-CN"/>
        </w:rPr>
        <w:t>队员确认签字：</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lang w:eastAsia="zh-CN"/>
        </w:rPr>
        <w:t xml:space="preserve">  裁判签字：</w:t>
      </w:r>
      <w:r>
        <w:rPr>
          <w:rFonts w:hint="eastAsia" w:ascii="仿宋_GB2312" w:hAnsi="仿宋_GB2312" w:eastAsia="仿宋_GB2312" w:cs="仿宋_GB2312"/>
          <w:sz w:val="32"/>
          <w:szCs w:val="32"/>
          <w:u w:val="single"/>
          <w:lang w:eastAsia="zh-CN"/>
        </w:rPr>
        <w:t xml:space="preserve">           </w:t>
      </w:r>
    </w:p>
    <w:sectPr>
      <w:footerReference r:id="rId3" w:type="default"/>
      <w:pgSz w:w="11907" w:h="16839"/>
      <w:pgMar w:top="2098" w:right="1474" w:bottom="1984" w:left="1587" w:header="0" w:footer="1213" w:gutter="0"/>
      <w:pgNumType w:fmt="numberInDash"/>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13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- 6 -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4"/>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- 6 -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jVmOGM2NGM1YTMzYzljZDczZWVhOWM0YWM2OGVlZDEifQ=="/>
  </w:docVars>
  <w:rsids>
    <w:rsidRoot w:val="003F657B"/>
    <w:rsid w:val="00117B05"/>
    <w:rsid w:val="001A7D0C"/>
    <w:rsid w:val="00355692"/>
    <w:rsid w:val="003F657B"/>
    <w:rsid w:val="00795B9D"/>
    <w:rsid w:val="01C41380"/>
    <w:rsid w:val="027F2F56"/>
    <w:rsid w:val="031C1747"/>
    <w:rsid w:val="0C7C4973"/>
    <w:rsid w:val="130B4059"/>
    <w:rsid w:val="14E04B78"/>
    <w:rsid w:val="17F63A87"/>
    <w:rsid w:val="19410B0E"/>
    <w:rsid w:val="195E54B8"/>
    <w:rsid w:val="1997249C"/>
    <w:rsid w:val="1DD54A35"/>
    <w:rsid w:val="1EB62626"/>
    <w:rsid w:val="2C2B3683"/>
    <w:rsid w:val="30183D71"/>
    <w:rsid w:val="36076087"/>
    <w:rsid w:val="3961607F"/>
    <w:rsid w:val="3CE152A9"/>
    <w:rsid w:val="44157A30"/>
    <w:rsid w:val="476E56BE"/>
    <w:rsid w:val="47CB0F9A"/>
    <w:rsid w:val="51BF0246"/>
    <w:rsid w:val="54A1395A"/>
    <w:rsid w:val="59E71678"/>
    <w:rsid w:val="612E2CF2"/>
    <w:rsid w:val="61410F28"/>
    <w:rsid w:val="68D979E8"/>
    <w:rsid w:val="6ABD1958"/>
    <w:rsid w:val="77D272FD"/>
    <w:rsid w:val="78C8486E"/>
    <w:rsid w:val="79286C5D"/>
    <w:rsid w:val="7AF278A0"/>
    <w:rsid w:val="7E146650"/>
    <w:rsid w:val="7E3515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autoRedefine/>
    <w:qFormat/>
    <w:uiPriority w:val="0"/>
    <w:rPr>
      <w:rFonts w:ascii="宋体" w:hAnsi="宋体" w:eastAsia="宋体" w:cs="宋体"/>
      <w:sz w:val="27"/>
      <w:szCs w:val="27"/>
    </w:rPr>
  </w:style>
  <w:style w:type="paragraph" w:styleId="4">
    <w:name w:val="footer"/>
    <w:basedOn w:val="1"/>
    <w:qFormat/>
    <w:uiPriority w:val="0"/>
    <w:pPr>
      <w:tabs>
        <w:tab w:val="center" w:pos="4153"/>
        <w:tab w:val="right" w:pos="8306"/>
      </w:tabs>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563</Words>
  <Characters>3210</Characters>
  <Lines>26</Lines>
  <Paragraphs>7</Paragraphs>
  <TotalTime>8</TotalTime>
  <ScaleCrop>false</ScaleCrop>
  <LinksUpToDate>false</LinksUpToDate>
  <CharactersWithSpaces>3766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2023-11-01T22:33:00Z</dcterms:created>
  <dc:creator>创想</dc:creator>
  <cp:lastModifiedBy>一只小猫咪</cp:lastModifiedBy>
  <dcterms:modified xsi:type="dcterms:W3CDTF">2024-01-18T01:32:56Z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2023-11-30T09:46:50Z</vt:filetime>
  </property>
  <property fmtid="{D5CDD505-2E9C-101B-9397-08002B2CF9AE}" pid="4" name="KSOProductBuildVer">
    <vt:lpwstr>2052-12.1.0.16120</vt:lpwstr>
  </property>
  <property fmtid="{D5CDD505-2E9C-101B-9397-08002B2CF9AE}" pid="5" name="ICV">
    <vt:lpwstr>80219554EC9B45E1A22B5F1C06C67046_13</vt:lpwstr>
  </property>
</Properties>
</file>