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v:background id="_x0000_s1025">
      <v:fill type="gradient" on="t" color2="fill lighten(0)" focus="100%" focussize="0f,0f" focusposition="0f,0f" method="linear sigma"/>
    </v:background>
  </w:background>
  <w:body>
    <w:p>
      <w:pPr>
        <w:keepNext w:val="0"/>
        <w:keepLines w:val="0"/>
        <w:pageBreakBefore w:val="0"/>
        <w:widowControl w:val="0"/>
        <w:kinsoku/>
        <w:wordWrap/>
        <w:overflowPunct/>
        <w:topLinePunct w:val="0"/>
        <w:autoSpaceDE w:val="0"/>
        <w:autoSpaceDN w:val="0"/>
        <w:bidi w:val="0"/>
        <w:adjustRightInd/>
        <w:snapToGrid/>
        <w:spacing w:before="0" w:after="0" w:line="560" w:lineRule="exact"/>
        <w:ind w:left="0" w:right="0" w:firstLine="0" w:firstLineChars="0"/>
        <w:jc w:val="center"/>
        <w:textAlignment w:val="auto"/>
        <w:rPr>
          <w:rFonts w:hint="eastAsia" w:ascii="方正小标宋简体" w:hAnsi="方正小标宋简体" w:eastAsia="方正小标宋简体" w:cs="方正小标宋简体"/>
          <w:snapToGrid/>
          <w:spacing w:val="0"/>
          <w:w w:val="100"/>
          <w:kern w:val="0"/>
          <w:sz w:val="36"/>
          <w:szCs w:val="36"/>
          <w:lang w:val="en-US" w:eastAsia="zh-CN" w:bidi="zh-CN"/>
        </w:rPr>
      </w:pPr>
      <w:r>
        <w:rPr>
          <w:rFonts w:hint="eastAsia" w:ascii="方正小标宋简体" w:hAnsi="方正小标宋简体" w:eastAsia="方正小标宋简体" w:cs="方正小标宋简体"/>
          <w:snapToGrid/>
          <w:spacing w:val="0"/>
          <w:w w:val="100"/>
          <w:kern w:val="0"/>
          <w:sz w:val="36"/>
          <w:szCs w:val="36"/>
          <w:lang w:val="en-US" w:eastAsia="zh-CN" w:bidi="zh-CN"/>
        </w:rPr>
        <w:t>互联网+运动会闭幕式比赛规则</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一、</w:t>
      </w:r>
      <w:r>
        <w:rPr>
          <w:rFonts w:hint="eastAsia" w:ascii="黑体" w:hAnsi="黑体" w:eastAsia="黑体" w:cs="黑体"/>
          <w:sz w:val="32"/>
          <w:szCs w:val="32"/>
        </w:rPr>
        <w:t>比赛主题</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奥林匹克圣火，象征着光明、团结、友谊、和平、正义。这一次，人类将奥运精神传递到了月球。不同于开幕式的庄严、隆重，闭幕式则多一些欢乐的气氛，观看表演，共襄盛举。我们将跟随AI领航员见证一场月球上的“运动会闭幕式”。</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二、比赛场地与环境</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场地</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16" w:firstLineChars="200"/>
        <w:jc w:val="both"/>
        <w:textAlignment w:val="baseline"/>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比赛场地尺寸为216</w:t>
      </w:r>
      <w:r>
        <w:rPr>
          <w:rFonts w:hint="eastAsia" w:ascii="仿宋_GB2312" w:hAnsi="仿宋_GB2312" w:eastAsia="仿宋_GB2312" w:cs="仿宋_GB2312"/>
          <w:spacing w:val="-6"/>
          <w:sz w:val="32"/>
          <w:szCs w:val="32"/>
          <w:lang w:val="en-US" w:eastAsia="zh-CN"/>
        </w:rPr>
        <w:t>*</w:t>
      </w:r>
      <w:r>
        <w:rPr>
          <w:rFonts w:hint="eastAsia" w:ascii="仿宋_GB2312" w:hAnsi="仿宋_GB2312" w:eastAsia="仿宋_GB2312" w:cs="仿宋_GB2312"/>
          <w:spacing w:val="-6"/>
          <w:sz w:val="32"/>
          <w:szCs w:val="32"/>
        </w:rPr>
        <w:t>120cm（图1），材质为PU布或喷绘布，黑色引导线宽度约为2.5cm。左下方为机器人基地（30</w:t>
      </w:r>
      <w:r>
        <w:rPr>
          <w:rFonts w:hint="eastAsia" w:ascii="仿宋_GB2312" w:hAnsi="仿宋_GB2312" w:eastAsia="仿宋_GB2312" w:cs="仿宋_GB2312"/>
          <w:spacing w:val="-6"/>
          <w:sz w:val="32"/>
          <w:szCs w:val="32"/>
          <w:lang w:val="en-US" w:eastAsia="zh-CN"/>
        </w:rPr>
        <w:t>*</w:t>
      </w:r>
      <w:r>
        <w:rPr>
          <w:rFonts w:hint="eastAsia" w:ascii="仿宋_GB2312" w:hAnsi="仿宋_GB2312" w:eastAsia="仿宋_GB2312" w:cs="仿宋_GB2312"/>
          <w:spacing w:val="-6"/>
          <w:sz w:val="32"/>
          <w:szCs w:val="32"/>
        </w:rPr>
        <w:t>30cm）。</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0" distR="0">
            <wp:extent cx="5302250" cy="1956435"/>
            <wp:effectExtent l="0" t="0" r="12700" b="5715"/>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0"/>
                    <a:stretch>
                      <a:fillRect/>
                    </a:stretch>
                  </pic:blipFill>
                  <pic:spPr>
                    <a:xfrm>
                      <a:off x="0" y="0"/>
                      <a:ext cx="5302250" cy="1956435"/>
                    </a:xfrm>
                    <a:prstGeom prst="rect">
                      <a:avLst/>
                    </a:prstGeom>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rPr>
      </w:pPr>
      <w:r>
        <w:rPr>
          <w:rFonts w:hint="eastAsia" w:ascii="黑体" w:hAnsi="黑体" w:eastAsia="黑体" w:cs="黑体"/>
          <w:sz w:val="22"/>
          <w:szCs w:val="22"/>
        </w:rPr>
        <w:t xml:space="preserve">图1 </w:t>
      </w:r>
      <w:r>
        <w:rPr>
          <w:rFonts w:hint="eastAsia" w:ascii="黑体" w:hAnsi="黑体" w:eastAsia="黑体" w:cs="黑体"/>
          <w:sz w:val="22"/>
          <w:szCs w:val="22"/>
          <w:lang w:val="en-US" w:eastAsia="zh-CN"/>
        </w:rPr>
        <w:t xml:space="preserve"> </w:t>
      </w:r>
      <w:r>
        <w:rPr>
          <w:rFonts w:hint="eastAsia" w:ascii="黑体" w:hAnsi="黑体" w:eastAsia="黑体" w:cs="黑体"/>
          <w:sz w:val="22"/>
          <w:szCs w:val="22"/>
        </w:rPr>
        <w:t>比赛场地示意图</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赛场环境</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机器人比赛场地环境为冷光源、低照度、无磁场干扰。但由于一般赛场环境的不确定因素较多，例如：边框有无，场地表面可能有</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纹路和不平整，光照条件有变化等等。参赛队在设计机器人时应考虑各种应对措施。</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机器人任务及得分</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以下任务只是对某些情景的模拟，切勿将它们与真实生活相比。</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烟花表演</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596" w:firstLineChars="200"/>
        <w:jc w:val="both"/>
        <w:textAlignment w:val="baseline"/>
        <w:rPr>
          <w:rFonts w:hint="eastAsia" w:ascii="仿宋_GB2312" w:hAnsi="仿宋_GB2312" w:eastAsia="仿宋_GB2312" w:cs="仿宋_GB2312"/>
          <w:spacing w:val="-11"/>
          <w:sz w:val="32"/>
          <w:szCs w:val="32"/>
        </w:rPr>
      </w:pPr>
      <w:r>
        <w:rPr>
          <w:rFonts w:hint="eastAsia" w:ascii="仿宋_GB2312" w:hAnsi="仿宋_GB2312" w:eastAsia="仿宋_GB2312" w:cs="仿宋_GB2312"/>
          <w:spacing w:val="-11"/>
          <w:sz w:val="32"/>
          <w:szCs w:val="32"/>
          <w:lang w:val="en-US" w:eastAsia="zh-CN"/>
        </w:rPr>
        <w:t>①</w:t>
      </w:r>
      <w:r>
        <w:rPr>
          <w:rFonts w:hint="eastAsia" w:ascii="仿宋_GB2312" w:hAnsi="仿宋_GB2312" w:eastAsia="仿宋_GB2312" w:cs="仿宋_GB2312"/>
          <w:spacing w:val="-11"/>
          <w:sz w:val="32"/>
          <w:szCs w:val="32"/>
        </w:rPr>
        <w:t>场地某个任务区固定一处烟花燃放点，转柄水平，如图2。</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596" w:firstLineChars="200"/>
        <w:jc w:val="both"/>
        <w:textAlignment w:val="baseline"/>
        <w:rPr>
          <w:rFonts w:hint="eastAsia" w:ascii="仿宋_GB2312" w:hAnsi="仿宋_GB2312" w:eastAsia="仿宋_GB2312" w:cs="仿宋_GB2312"/>
          <w:spacing w:val="-11"/>
          <w:sz w:val="32"/>
          <w:szCs w:val="32"/>
        </w:rPr>
      </w:pPr>
      <w:r>
        <w:rPr>
          <w:rFonts w:hint="eastAsia" w:ascii="仿宋_GB2312" w:hAnsi="仿宋_GB2312" w:eastAsia="仿宋_GB2312" w:cs="仿宋_GB2312"/>
          <w:spacing w:val="-11"/>
          <w:sz w:val="32"/>
          <w:szCs w:val="32"/>
          <w:lang w:val="en-US" w:eastAsia="zh-CN"/>
        </w:rPr>
        <w:t>②</w:t>
      </w:r>
      <w:r>
        <w:rPr>
          <w:rFonts w:hint="eastAsia" w:ascii="仿宋_GB2312" w:hAnsi="仿宋_GB2312" w:eastAsia="仿宋_GB2312" w:cs="仿宋_GB2312"/>
          <w:spacing w:val="-11"/>
          <w:sz w:val="32"/>
          <w:szCs w:val="32"/>
        </w:rPr>
        <w:t>得分标准：烟花绽放（2个30梁接触），得50分，如图3。</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hAnsi="仿宋_GB2312" w:eastAsia="仿宋_GB2312" w:cs="仿宋_GB2312"/>
          <w:sz w:val="32"/>
          <w:szCs w:val="32"/>
        </w:rPr>
      </w:pPr>
      <w:r>
        <w:drawing>
          <wp:inline distT="0" distB="0" distL="114300" distR="114300">
            <wp:extent cx="5616575" cy="2771140"/>
            <wp:effectExtent l="0" t="0" r="3175"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5616575" cy="2771140"/>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rPr>
      </w:pPr>
      <w:r>
        <w:rPr>
          <w:rFonts w:hint="eastAsia" w:ascii="黑体" w:hAnsi="黑体" w:eastAsia="黑体" w:cs="黑体"/>
          <w:sz w:val="22"/>
          <w:szCs w:val="22"/>
          <w:lang w:val="en-US" w:eastAsia="zh-CN"/>
        </w:rPr>
        <w:t>图2  初始状态</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hAnsi="仿宋_GB2312" w:eastAsia="仿宋_GB2312" w:cs="仿宋_GB2312"/>
          <w:sz w:val="32"/>
          <w:szCs w:val="32"/>
        </w:rPr>
      </w:pPr>
      <w:r>
        <w:drawing>
          <wp:inline distT="0" distB="0" distL="114300" distR="114300">
            <wp:extent cx="5615940" cy="2590800"/>
            <wp:effectExtent l="0" t="0" r="381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2"/>
                    <a:stretch>
                      <a:fillRect/>
                    </a:stretch>
                  </pic:blipFill>
                  <pic:spPr>
                    <a:xfrm>
                      <a:off x="0" y="0"/>
                      <a:ext cx="5615940" cy="2590800"/>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图3  完成状态</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hAnsi="仿宋_GB2312" w:eastAsia="仿宋_GB2312" w:cs="仿宋_GB2312"/>
          <w:sz w:val="32"/>
          <w:szCs w:val="32"/>
        </w:rPr>
      </w:pPr>
      <w:r>
        <w:drawing>
          <wp:inline distT="0" distB="0" distL="114300" distR="114300">
            <wp:extent cx="5608955" cy="2592070"/>
            <wp:effectExtent l="0" t="0" r="10795" b="177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3"/>
                    <a:stretch>
                      <a:fillRect/>
                    </a:stretch>
                  </pic:blipFill>
                  <pic:spPr>
                    <a:xfrm>
                      <a:off x="0" y="0"/>
                      <a:ext cx="5608955" cy="2592070"/>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图4  初始状态</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代表团入场</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rPr>
        <w:t>基地内有代表团正在等待入场，入场位置在6号区域，如图4。</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rPr>
        <w:t>得分标准：代表团与场地接触部分完全在框线内（压线不得分），且为站立状态，得60分，如图5。</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32"/>
          <w:szCs w:val="32"/>
        </w:rPr>
      </w:pPr>
      <w:r>
        <w:drawing>
          <wp:inline distT="0" distB="0" distL="114300" distR="114300">
            <wp:extent cx="5605780" cy="1950085"/>
            <wp:effectExtent l="0" t="0" r="13970" b="1206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4"/>
                    <a:stretch>
                      <a:fillRect/>
                    </a:stretch>
                  </pic:blipFill>
                  <pic:spPr>
                    <a:xfrm>
                      <a:off x="0" y="0"/>
                      <a:ext cx="5605780" cy="1950085"/>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图5  完成状态</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文艺表演</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rPr>
        <w:t>场地某个任务区固定一表演区，有一舞者正在表演舞蹈，转柄竖直，如图6。</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rPr>
        <w:t>得分标准：舞者为站立姿势（磁铁吸合），且腿部与底部50单孔梁接触，得60分，如图7。</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32"/>
          <w:szCs w:val="32"/>
        </w:rPr>
      </w:pPr>
      <w:r>
        <w:drawing>
          <wp:inline distT="0" distB="0" distL="114300" distR="114300">
            <wp:extent cx="4916805" cy="3521710"/>
            <wp:effectExtent l="0" t="0" r="17145" b="254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5"/>
                    <a:stretch>
                      <a:fillRect/>
                    </a:stretch>
                  </pic:blipFill>
                  <pic:spPr>
                    <a:xfrm>
                      <a:off x="0" y="0"/>
                      <a:ext cx="4916805" cy="3521710"/>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图6  初始状态</w:t>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firstLine="400" w:firstLineChars="200"/>
        <w:jc w:val="center"/>
        <w:textAlignment w:val="baseline"/>
        <w:rPr>
          <w:rFonts w:hint="eastAsia" w:ascii="仿宋_GB2312" w:hAnsi="仿宋_GB2312" w:eastAsia="仿宋_GB2312" w:cs="仿宋_GB2312"/>
          <w:sz w:val="32"/>
          <w:szCs w:val="32"/>
        </w:rPr>
      </w:pPr>
      <w:r>
        <w:drawing>
          <wp:inline distT="0" distB="0" distL="114300" distR="114300">
            <wp:extent cx="5011420" cy="3245485"/>
            <wp:effectExtent l="0" t="0" r="17780" b="1206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6"/>
                    <a:stretch>
                      <a:fillRect/>
                    </a:stretch>
                  </pic:blipFill>
                  <pic:spPr>
                    <a:xfrm>
                      <a:off x="0" y="0"/>
                      <a:ext cx="5011420" cy="3245485"/>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图7  完成状态</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闭幕致辞</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rPr>
        <w:t>场地某个任务区固定一个演讲台，上面有一位演讲员和会旗，如图8。</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rPr>
        <w:t>得分标准：30单孔梁垂直投影不与底板接触，得50分，如图9。</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32"/>
          <w:szCs w:val="32"/>
        </w:rPr>
      </w:pPr>
      <w:r>
        <w:drawing>
          <wp:inline distT="0" distB="0" distL="114300" distR="114300">
            <wp:extent cx="5203190" cy="3134360"/>
            <wp:effectExtent l="0" t="0" r="16510" b="889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7"/>
                    <a:stretch>
                      <a:fillRect/>
                    </a:stretch>
                  </pic:blipFill>
                  <pic:spPr>
                    <a:xfrm>
                      <a:off x="0" y="0"/>
                      <a:ext cx="5203190" cy="3134360"/>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图8  初始状态</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_GB2312" w:hAnsi="仿宋_GB2312" w:eastAsia="仿宋_GB2312" w:cs="仿宋_GB2312"/>
          <w:sz w:val="32"/>
          <w:szCs w:val="32"/>
        </w:rPr>
      </w:pPr>
      <w:r>
        <w:drawing>
          <wp:inline distT="0" distB="0" distL="114300" distR="114300">
            <wp:extent cx="5902325" cy="2338070"/>
            <wp:effectExtent l="0" t="0" r="3175" b="508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8"/>
                    <a:stretch>
                      <a:fillRect/>
                    </a:stretch>
                  </pic:blipFill>
                  <pic:spPr>
                    <a:xfrm>
                      <a:off x="0" y="0"/>
                      <a:ext cx="5902325" cy="2338070"/>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firstLine="440" w:firstLineChars="20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图9  完成状态</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left="0" w:leftChars="0" w:firstLine="0" w:firstLineChars="0"/>
        <w:jc w:val="both"/>
        <w:textAlignment w:val="baseline"/>
        <w:rPr>
          <w:rFonts w:hint="eastAsia" w:ascii="仿宋_GB2312" w:hAnsi="仿宋_GB2312" w:eastAsia="仿宋_GB2312" w:cs="仿宋_GB2312"/>
          <w:sz w:val="32"/>
          <w:szCs w:val="32"/>
          <w:lang w:val="en-US" w:eastAsia="zh-CN"/>
        </w:rPr>
      </w:pP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会旗交接</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rPr>
        <w:t>场地某个任务区固定一会旗交接区，下一届举办地代表正在等待会旗交接，如图10。</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rPr>
        <w:t>得分标准：会旗底部和中部磁铁分别与举办地代表下方和手臂磁铁吸合，得60分，如图11。</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32"/>
          <w:szCs w:val="32"/>
        </w:rPr>
      </w:pPr>
      <w:r>
        <w:drawing>
          <wp:inline distT="0" distB="0" distL="114300" distR="114300">
            <wp:extent cx="4700270" cy="3130550"/>
            <wp:effectExtent l="0" t="0" r="5080" b="1270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9"/>
                    <a:stretch>
                      <a:fillRect/>
                    </a:stretch>
                  </pic:blipFill>
                  <pic:spPr>
                    <a:xfrm>
                      <a:off x="0" y="0"/>
                      <a:ext cx="4700270" cy="3130550"/>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图10  初始状态</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32"/>
          <w:szCs w:val="32"/>
        </w:rPr>
      </w:pPr>
      <w:r>
        <w:drawing>
          <wp:inline distT="0" distB="0" distL="114300" distR="114300">
            <wp:extent cx="4864735" cy="2783840"/>
            <wp:effectExtent l="0" t="0" r="12065" b="1651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20"/>
                    <a:stretch>
                      <a:fillRect/>
                    </a:stretch>
                  </pic:blipFill>
                  <pic:spPr>
                    <a:xfrm>
                      <a:off x="0" y="0"/>
                      <a:ext cx="4864735" cy="2783840"/>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图11  完成状态</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颁奖仪式</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rPr>
        <w:t>场地某个任务区固定一颁奖台，有一运动员弯腰等待颁奖，如图12。</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rPr>
        <w:t>得分标准：中间运动员胳膊与垂线的夹角≥0°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且奖牌在脖子上，得50分，如图13。</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32"/>
          <w:szCs w:val="32"/>
        </w:rPr>
      </w:pPr>
      <w:r>
        <w:drawing>
          <wp:inline distT="0" distB="0" distL="114300" distR="114300">
            <wp:extent cx="5495925" cy="3476625"/>
            <wp:effectExtent l="0" t="0" r="9525" b="952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21"/>
                    <a:stretch>
                      <a:fillRect/>
                    </a:stretch>
                  </pic:blipFill>
                  <pic:spPr>
                    <a:xfrm>
                      <a:off x="0" y="0"/>
                      <a:ext cx="5495925" cy="3476625"/>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图12  初始状态</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32"/>
          <w:szCs w:val="32"/>
        </w:rPr>
      </w:pPr>
      <w:r>
        <w:drawing>
          <wp:inline distT="0" distB="0" distL="114300" distR="114300">
            <wp:extent cx="5611495" cy="2263775"/>
            <wp:effectExtent l="0" t="0" r="8255" b="317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22"/>
                    <a:stretch>
                      <a:fillRect/>
                    </a:stretch>
                  </pic:blipFill>
                  <pic:spPr>
                    <a:xfrm>
                      <a:off x="0" y="0"/>
                      <a:ext cx="5611495" cy="2263775"/>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图13  完成状态</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圣火熄灭</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rPr>
        <w:t>场地某个任务区固定一圣火模型，如图14。</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rPr>
        <w:t>得分标准：拉杆完全脱离任务模型，圣火与底部转盘齿轮接触，2个50梁接触，三个条件同时满足得70分，如图15。</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32"/>
          <w:szCs w:val="32"/>
        </w:rPr>
      </w:pPr>
      <w:r>
        <w:drawing>
          <wp:inline distT="0" distB="0" distL="114300" distR="114300">
            <wp:extent cx="5613400" cy="2417445"/>
            <wp:effectExtent l="0" t="0" r="6350" b="1905"/>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23"/>
                    <a:stretch>
                      <a:fillRect/>
                    </a:stretch>
                  </pic:blipFill>
                  <pic:spPr>
                    <a:xfrm>
                      <a:off x="0" y="0"/>
                      <a:ext cx="5613400" cy="2417445"/>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图14  初始状态</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32"/>
          <w:szCs w:val="32"/>
        </w:rPr>
      </w:pPr>
      <w:r>
        <w:drawing>
          <wp:inline distT="0" distB="0" distL="114300" distR="114300">
            <wp:extent cx="5605780" cy="2276475"/>
            <wp:effectExtent l="0" t="0" r="13970" b="9525"/>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24"/>
                    <a:stretch>
                      <a:fillRect/>
                    </a:stretch>
                  </pic:blipFill>
                  <pic:spPr>
                    <a:xfrm>
                      <a:off x="0" y="0"/>
                      <a:ext cx="5605780" cy="2276475"/>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图15  完成状态</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分钟展演</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rPr>
        <w:t>场地某个任务区固定一个下一届展示区，上面有三个演员，分别穿有橙、白、蓝三种颜色的衣服，如图16。</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rPr>
        <w:t>机器人拨动拨杆，3个表演人员开始旋转，直到其自然停止，机器人识别最上方表演人员衣服颜色（正视时最上方演员的衣服须与110梁延长线重合），同时指示灯仅亮出对应的颜色至少2秒，得80分，如图17。</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③</w:t>
      </w:r>
      <w:r>
        <w:rPr>
          <w:rFonts w:hint="eastAsia" w:ascii="仿宋_GB2312" w:hAnsi="仿宋_GB2312" w:eastAsia="仿宋_GB2312" w:cs="仿宋_GB2312"/>
          <w:sz w:val="32"/>
          <w:szCs w:val="32"/>
        </w:rPr>
        <w:t>此任务中途不可返回出发基地。</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④</w:t>
      </w:r>
      <w:r>
        <w:rPr>
          <w:rFonts w:hint="eastAsia" w:ascii="仿宋_GB2312" w:hAnsi="仿宋_GB2312" w:eastAsia="仿宋_GB2312" w:cs="仿宋_GB2312"/>
          <w:sz w:val="32"/>
          <w:szCs w:val="32"/>
        </w:rPr>
        <w:t>指示灯必须在机器人显眼的地方，便于裁判观察。</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32"/>
          <w:szCs w:val="32"/>
        </w:rPr>
      </w:pPr>
      <w:r>
        <w:drawing>
          <wp:inline distT="0" distB="0" distL="114300" distR="114300">
            <wp:extent cx="4582160" cy="3187065"/>
            <wp:effectExtent l="0" t="0" r="8890" b="13335"/>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icPr>
                  <pic:blipFill>
                    <a:blip r:embed="rId25"/>
                    <a:stretch>
                      <a:fillRect/>
                    </a:stretch>
                  </pic:blipFill>
                  <pic:spPr>
                    <a:xfrm>
                      <a:off x="0" y="0"/>
                      <a:ext cx="4582160" cy="3187065"/>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图16  初始状态</w:t>
      </w:r>
    </w:p>
    <w:p>
      <w:pPr>
        <w:pStyle w:val="2"/>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_GB2312" w:hAnsi="仿宋_GB2312" w:eastAsia="仿宋_GB2312" w:cs="仿宋_GB2312"/>
          <w:sz w:val="32"/>
          <w:szCs w:val="32"/>
        </w:rPr>
      </w:pPr>
      <w:r>
        <w:drawing>
          <wp:inline distT="0" distB="0" distL="114300" distR="114300">
            <wp:extent cx="5607685" cy="2188210"/>
            <wp:effectExtent l="0" t="0" r="12065" b="2540"/>
            <wp:docPr id="18" name="图片 17"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descr="C:/Users/Administrator/Desktop/图片1.png图片1"/>
                    <pic:cNvPicPr>
                      <a:picLocks noChangeAspect="1"/>
                    </pic:cNvPicPr>
                  </pic:nvPicPr>
                  <pic:blipFill>
                    <a:blip r:embed="rId26"/>
                    <a:srcRect t="11" b="11"/>
                    <a:stretch>
                      <a:fillRect/>
                    </a:stretch>
                  </pic:blipFill>
                  <pic:spPr>
                    <a:xfrm>
                      <a:off x="0" y="0"/>
                      <a:ext cx="5607685" cy="2188210"/>
                    </a:xfrm>
                    <a:prstGeom prst="rect">
                      <a:avLst/>
                    </a:prstGeom>
                    <a:noFill/>
                    <a:ln>
                      <a:noFill/>
                    </a:ln>
                  </pic:spPr>
                </pic:pic>
              </a:graphicData>
            </a:graphic>
          </wp:inline>
        </w:drawing>
      </w:r>
    </w:p>
    <w:p>
      <w:pPr>
        <w:pStyle w:val="2"/>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黑体" w:hAnsi="黑体" w:eastAsia="黑体" w:cs="黑体"/>
          <w:sz w:val="22"/>
          <w:szCs w:val="22"/>
          <w:lang w:val="en-US" w:eastAsia="zh-CN"/>
        </w:rPr>
      </w:pPr>
      <w:r>
        <w:rPr>
          <w:rFonts w:hint="eastAsia" w:ascii="黑体" w:hAnsi="黑体" w:eastAsia="黑体" w:cs="黑体"/>
          <w:sz w:val="22"/>
          <w:szCs w:val="22"/>
          <w:lang w:val="en-US" w:eastAsia="zh-CN"/>
        </w:rPr>
        <w:t>图17  完成状态</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传承荣耀</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rPr>
        <w:t>机器人自主返回基地且没有下一步任务，机器人的任一部分的垂直投影在基地内得40分。</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rPr>
        <w:t>传承荣耀必须是最后一个完成的比赛任务。</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模型位置说明</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代表团旗帜入场任务位置固定。其它模型位置及方向</w:t>
      </w:r>
      <w:r>
        <w:rPr>
          <w:rFonts w:hint="eastAsia" w:ascii="仿宋_GB2312" w:hAnsi="仿宋_GB2312" w:eastAsia="仿宋_GB2312" w:cs="仿宋_GB2312"/>
          <w:sz w:val="32"/>
          <w:szCs w:val="32"/>
          <w:lang w:val="en-US" w:eastAsia="zh-CN"/>
        </w:rPr>
        <w:t>由裁判组织参赛选手</w:t>
      </w:r>
      <w:r>
        <w:rPr>
          <w:rFonts w:hint="eastAsia" w:ascii="仿宋_GB2312" w:hAnsi="仿宋_GB2312" w:eastAsia="仿宋_GB2312" w:cs="仿宋_GB2312"/>
          <w:sz w:val="32"/>
          <w:szCs w:val="32"/>
        </w:rPr>
        <w:t>赛前</w:t>
      </w:r>
      <w:r>
        <w:rPr>
          <w:rFonts w:hint="eastAsia" w:ascii="仿宋_GB2312" w:hAnsi="仿宋_GB2312" w:eastAsia="仿宋_GB2312" w:cs="仿宋_GB2312"/>
          <w:sz w:val="32"/>
          <w:szCs w:val="32"/>
          <w:lang w:val="en-US" w:eastAsia="zh-CN"/>
        </w:rPr>
        <w:t>抽签确定</w:t>
      </w:r>
      <w:r>
        <w:rPr>
          <w:rFonts w:hint="eastAsia" w:ascii="仿宋_GB2312" w:hAnsi="仿宋_GB2312" w:eastAsia="仿宋_GB2312" w:cs="仿宋_GB2312"/>
          <w:sz w:val="32"/>
          <w:szCs w:val="32"/>
        </w:rPr>
        <w:t>。</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四、机器人</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机器人尺寸：每次离开基地前，机器人尺寸不得大于30cm*30cm*30cm（长*宽*高）；机器人的垂直投影完全离开基地后，其结构可以自行伸展。</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控制器：单轮比赛中，不允许更换控制器。每台机器人只允许使用一个控制器。</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执行器：每场比赛每台机器人使用电机数不超过4个，不允许使用舵机。</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传感器：</w:t>
      </w:r>
      <w:r>
        <w:rPr>
          <w:rFonts w:hint="eastAsia" w:ascii="仿宋_GB2312" w:hAnsi="仿宋_GB2312" w:eastAsia="仿宋_GB2312" w:cs="仿宋_GB2312"/>
          <w:spacing w:val="-20"/>
          <w:sz w:val="32"/>
          <w:szCs w:val="32"/>
        </w:rPr>
        <w:t>每台机器人允许使用的传感器种类、数量不限。</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结构：机器人必须使用塑料材质的拼插式结构，不得使用橡皮筋、扎带、螺钉、胶水、胶带等辅助连接材料。</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电源：每台机器人必须自带独立电池盒，不得连接外部电源，电池电压不得高于9V，不得使用升压、降压、稳压等电路。</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每支队伍一台机器人，禁止多支队伍共用机器人。</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五、比赛</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参赛队</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每支参赛队应由1-2名学生和1名</w:t>
      </w:r>
      <w:r>
        <w:rPr>
          <w:rFonts w:hint="eastAsia" w:ascii="仿宋_GB2312" w:hAnsi="仿宋_GB2312" w:eastAsia="仿宋_GB2312" w:cs="仿宋_GB2312"/>
          <w:sz w:val="32"/>
          <w:szCs w:val="32"/>
          <w:lang w:val="en-US" w:eastAsia="zh-CN"/>
        </w:rPr>
        <w:t>指导教师</w:t>
      </w:r>
      <w:r>
        <w:rPr>
          <w:rFonts w:hint="eastAsia" w:ascii="仿宋_GB2312" w:hAnsi="仿宋_GB2312" w:eastAsia="仿宋_GB2312" w:cs="仿宋_GB2312"/>
          <w:sz w:val="32"/>
          <w:szCs w:val="32"/>
        </w:rPr>
        <w:t>组成。学生必须是截止到2024年6月仍然在校的学生。</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参赛队员应以积极的心态面对和自主地处理在比赛中遇到的所有问题，自尊、自重，友善地对待和尊重队友、对手、志愿者、裁判员和所有为比赛付出辛劳的人，努力把自己培养成为有健全人格和健康心理的人。</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赛制</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按小学、初中、高中</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含中职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三个组别分别进行。</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比赛不分初赛与复赛。组委会保证每支参赛队有相同的上场次数，每次均记分。</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比赛场地上规定了机器人要完成的任务（在</w:t>
      </w:r>
      <w:r>
        <w:rPr>
          <w:rFonts w:hint="eastAsia" w:ascii="仿宋_GB2312" w:hAnsi="仿宋_GB2312" w:eastAsia="仿宋_GB2312" w:cs="仿宋_GB2312"/>
          <w:sz w:val="32"/>
          <w:szCs w:val="32"/>
          <w:lang w:val="en-US" w:eastAsia="zh-CN"/>
        </w:rPr>
        <w:t>上述</w:t>
      </w:r>
      <w:r>
        <w:rPr>
          <w:rFonts w:hint="eastAsia" w:ascii="仿宋_GB2312" w:hAnsi="仿宋_GB2312" w:eastAsia="仿宋_GB2312" w:cs="仿宋_GB2312"/>
          <w:sz w:val="32"/>
          <w:szCs w:val="32"/>
        </w:rPr>
        <w:t>任务中选定，也可能有神秘任务）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赛前由裁判组织学生进行点位与任务顺序抽签，</w:t>
      </w:r>
      <w:r>
        <w:rPr>
          <w:rFonts w:hint="eastAsia" w:ascii="仿宋_GB2312" w:hAnsi="仿宋_GB2312" w:eastAsia="仿宋_GB2312" w:cs="仿宋_GB2312"/>
          <w:sz w:val="32"/>
          <w:szCs w:val="32"/>
        </w:rPr>
        <w:t>小学、初中、高中三个组别要完成的任务数可能不同。</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所有场次的比赛结束后，每支参赛队各场得分之和作为该队的总成绩，按总成绩对参赛队排名。</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竞赛组委会有可能根据参赛报名和场馆的实际情况变更赛制。</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比赛过程</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搭建机器人与编程</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rPr>
        <w:t>编程与调试只能在规定区域进行。</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rPr>
        <w:t>参赛队员检录后方能进入准备区。裁判员对参赛队携带的器材进行检查，所用器材必须符合组委会相关规定与要求。参赛队员可以携带已搭建的机器人进入准备区。</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③</w:t>
      </w:r>
      <w:r>
        <w:rPr>
          <w:rFonts w:hint="eastAsia" w:ascii="仿宋_GB2312" w:hAnsi="仿宋_GB2312" w:eastAsia="仿宋_GB2312" w:cs="仿宋_GB2312"/>
          <w:sz w:val="32"/>
          <w:szCs w:val="32"/>
        </w:rPr>
        <w:t>参赛队员在比赛过程中不得上网和下载任何资料，不得以任何方式与</w:t>
      </w:r>
      <w:r>
        <w:rPr>
          <w:rFonts w:hint="eastAsia" w:ascii="仿宋_GB2312" w:hAnsi="仿宋_GB2312" w:eastAsia="仿宋_GB2312" w:cs="仿宋_GB2312"/>
          <w:sz w:val="32"/>
          <w:szCs w:val="32"/>
          <w:lang w:val="en-US" w:eastAsia="zh-CN"/>
        </w:rPr>
        <w:t>指导教师</w:t>
      </w:r>
      <w:r>
        <w:rPr>
          <w:rFonts w:hint="eastAsia" w:ascii="仿宋_GB2312" w:hAnsi="仿宋_GB2312" w:eastAsia="仿宋_GB2312" w:cs="仿宋_GB2312"/>
          <w:sz w:val="32"/>
          <w:szCs w:val="32"/>
        </w:rPr>
        <w:t>或家长联系。</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④</w:t>
      </w:r>
      <w:r>
        <w:rPr>
          <w:rFonts w:hint="eastAsia" w:ascii="仿宋_GB2312" w:hAnsi="仿宋_GB2312" w:eastAsia="仿宋_GB2312" w:cs="仿宋_GB2312"/>
          <w:sz w:val="32"/>
          <w:szCs w:val="32"/>
        </w:rPr>
        <w:t>整场比赛参赛队员有一定的调试时间。结束后，各参赛队按裁判要求将机器人封存在指定位置，上场前不得修改、下载程序。</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⑤</w:t>
      </w:r>
      <w:r>
        <w:rPr>
          <w:rFonts w:hint="eastAsia" w:ascii="仿宋_GB2312" w:hAnsi="仿宋_GB2312" w:eastAsia="仿宋_GB2312" w:cs="仿宋_GB2312"/>
          <w:sz w:val="32"/>
          <w:szCs w:val="32"/>
        </w:rPr>
        <w:t>参赛队在每轮比赛结束后，允许在准备区维修机器人和修改控制程序，但不能打乱下一轮出场次序。</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赛前准备</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rPr>
        <w:t>准备上场时，队员领取自己的机器人，在引导员带领下进入比赛区。在规定时间内未到场的参赛队将被视为弃权。</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rPr>
        <w:t>上场的学生队员，站立在基地附近，不得倚靠赛台。</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③</w:t>
      </w:r>
      <w:r>
        <w:rPr>
          <w:rFonts w:hint="eastAsia" w:ascii="仿宋_GB2312" w:hAnsi="仿宋_GB2312" w:eastAsia="仿宋_GB2312" w:cs="仿宋_GB2312"/>
          <w:sz w:val="32"/>
          <w:szCs w:val="32"/>
        </w:rPr>
        <w:t>队员将自己的机器人放入基地。机器人的任何部分（含任务模型）垂直投影不能超出基地。</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④</w:t>
      </w:r>
      <w:r>
        <w:rPr>
          <w:rFonts w:hint="eastAsia" w:ascii="仿宋_GB2312" w:hAnsi="仿宋_GB2312" w:eastAsia="仿宋_GB2312" w:cs="仿宋_GB2312"/>
          <w:sz w:val="32"/>
          <w:szCs w:val="32"/>
        </w:rPr>
        <w:t>到场的参赛队员应在一分钟内做好启动前的准备工作，准备期间机器人不得离开基地，不能修改、下载程序。完成准备工作后，队员应向裁判员示意。</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启动</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rPr>
        <w:t>启动——机器人自主运行发生位移。</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rPr>
        <w:t>裁判员确认参赛队已准备好后，将发出“3，2，1，开始”的倒计时启动口令。听到“开始”命令后，队员可以启动机器人。</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③</w:t>
      </w:r>
      <w:r>
        <w:rPr>
          <w:rFonts w:hint="eastAsia" w:ascii="仿宋_GB2312" w:hAnsi="仿宋_GB2312" w:eastAsia="仿宋_GB2312" w:cs="仿宋_GB2312"/>
          <w:sz w:val="32"/>
          <w:szCs w:val="32"/>
        </w:rPr>
        <w:t>在“开始”命令前机器人若启动将被视为“误启动”并受到警告或处罚。</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④</w:t>
      </w:r>
      <w:r>
        <w:rPr>
          <w:rFonts w:hint="eastAsia" w:ascii="仿宋_GB2312" w:hAnsi="仿宋_GB2312" w:eastAsia="仿宋_GB2312" w:cs="仿宋_GB2312"/>
          <w:spacing w:val="-11"/>
          <w:sz w:val="32"/>
          <w:szCs w:val="32"/>
        </w:rPr>
        <w:t>机器人一旦启动，就只能受自带的控制器中的程序控制。</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⑤</w:t>
      </w:r>
      <w:r>
        <w:rPr>
          <w:rFonts w:hint="eastAsia" w:ascii="仿宋_GB2312" w:hAnsi="仿宋_GB2312" w:eastAsia="仿宋_GB2312" w:cs="仿宋_GB2312"/>
          <w:sz w:val="32"/>
          <w:szCs w:val="32"/>
        </w:rPr>
        <w:t>启动后的机器人不得故意分离出部件或把机械零件掉在场上。偶然脱落的机器人零部件，由裁判员随时清出场地，该物品不得再回到场上。为了得分的需要而分离部件是犯规行为，该任务得分无效。</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⑥</w:t>
      </w:r>
      <w:r>
        <w:rPr>
          <w:rFonts w:hint="eastAsia" w:ascii="仿宋_GB2312" w:hAnsi="仿宋_GB2312" w:eastAsia="仿宋_GB2312" w:cs="仿宋_GB2312"/>
          <w:sz w:val="32"/>
          <w:szCs w:val="32"/>
        </w:rPr>
        <w:t>比赛开始后任务模型若离开场地（机器人自主返回基地所携带的模型除外），则该物品不得再回到场上。</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重试</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机器人出现以下状况视为重试：</w:t>
      </w:r>
    </w:p>
    <w:p>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①</w:t>
      </w:r>
      <w:r>
        <w:rPr>
          <w:rFonts w:hint="eastAsia" w:ascii="仿宋_GB2312" w:hAnsi="仿宋_GB2312" w:eastAsia="仿宋_GB2312" w:cs="仿宋_GB2312"/>
          <w:sz w:val="32"/>
          <w:szCs w:val="32"/>
        </w:rPr>
        <w:t>参赛队员接触基地外的机器人；</w:t>
      </w:r>
    </w:p>
    <w:p>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②</w:t>
      </w:r>
      <w:r>
        <w:rPr>
          <w:rFonts w:hint="eastAsia" w:ascii="仿宋_GB2312" w:hAnsi="仿宋_GB2312" w:eastAsia="仿宋_GB2312" w:cs="仿宋_GB2312"/>
          <w:sz w:val="32"/>
          <w:szCs w:val="32"/>
        </w:rPr>
        <w:t>机器人完全冲出场地。</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重试时，场地状态保持不变，队员需将机器人搬回基地。</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重试前机器人已完成的任务有效。但机器人重试返回基地时携带的模型失效并由裁判代为保管至本轮比赛结束。</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每场比赛重试的次数不限。重试期间计时不停止，也不重新开始计时。</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自主返回基地</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机器人可以多次自主往返基地，不算重试。</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机器人自主返回基地的标准：机器人的任一结构的垂直投影在基地范围内。</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机器人自主返回基地后，参赛队员可以接触机器人并对机器人的结构进行更改或维修。</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比赛结束</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每场比赛时间为150秒钟。</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参赛队在完成一些任务后，如不准备继续比赛，应向裁判员举手示意，裁判员据此停止计时，结束比赛；否则，等待裁判员宣布比赛结束。</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裁判员宣布比赛结束后，参赛队员应立即关断机器人的电源，不得与场上的机器人或任何物品接触，若队员或机器人造成模型状态变化则对应任务不得分。</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权利纠正裁判员</w:t>
      </w:r>
      <w:r>
        <w:rPr>
          <w:rFonts w:hint="eastAsia" w:ascii="仿宋_GB2312" w:hAnsi="仿宋_GB2312" w:eastAsia="仿宋_GB2312" w:cs="仿宋_GB2312"/>
          <w:color w:val="000000" w:themeColor="text1"/>
          <w:sz w:val="32"/>
          <w:szCs w:val="32"/>
          <w:lang w:eastAsia="zh-CN"/>
          <w14:textFill>
            <w14:solidFill>
              <w14:schemeClr w14:val="tx1"/>
            </w14:solidFill>
          </w14:textFill>
        </w:rPr>
        <w:t>计分</w:t>
      </w:r>
      <w:r>
        <w:rPr>
          <w:rFonts w:hint="eastAsia" w:ascii="仿宋_GB2312" w:hAnsi="仿宋_GB2312" w:eastAsia="仿宋_GB2312" w:cs="仿宋_GB2312"/>
          <w:sz w:val="32"/>
          <w:szCs w:val="32"/>
        </w:rPr>
        <w:t>操作中可能的错误。如无异议应签字确认自己的得分，如有争议应提请裁判长仲裁。</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参赛队员将场地恢复到启动前状态，并立即将自己的机器人搬回准备区。</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六、记分</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每场比赛结束后，根据场地上完成任务情况来判定分数。如果已经完成的任务被机器人或参赛队员在比赛结束前意外破坏了，该任务不得分。完成任务的记分标准见第3节。</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完成任务的次序不影响单项任务的得分。</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如果在比赛中没有重试，机器人动作流畅，一气呵成，加记流畅奖励40分；1次重试奖励30分；2次重试奖励20分；3次重试奖励10分；4次及以上重试奖励0分。</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七、犯规和取消比赛资格</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未准时到场的参赛队，每迟到1分钟则判罚该队10分。如果2分钟后仍未到场，该队将被取消本轮比赛资格。</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第1次误启动将受到裁判员的警告，机器人回到待命区再次启动，计时重新开始。第2次误启动将被取消本轮比赛资格。</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机器人以高速冲撞场地设施导致损坏将受到裁判员的警告，第2次损坏场地设施将被取消本轮比赛资格。</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如果由参赛队员或机器人造成比赛模型损坏，警告一次。该任务得分无效。</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比赛中，参赛队员有意接触比赛场上基地外的比赛模型，将被取消本轮比赛资格。偶然的接触可以不当作犯规，除非这种接触直接影响到比赛的最终得分。</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不听从裁判员的指示将被取消本轮比赛资格。</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参赛队员在比赛过程中上网、下载任何资料、拍摄比赛场地等行为，将被</w:t>
      </w:r>
      <w:r>
        <w:rPr>
          <w:rFonts w:hint="eastAsia" w:ascii="仿宋_GB2312" w:hAnsi="仿宋_GB2312" w:eastAsia="仿宋_GB2312" w:cs="仿宋_GB2312"/>
          <w:sz w:val="32"/>
          <w:szCs w:val="32"/>
          <w:lang w:val="en-US" w:eastAsia="zh-CN"/>
        </w:rPr>
        <w:t>警告；警告后仍有类似行为的，</w:t>
      </w:r>
      <w:r>
        <w:rPr>
          <w:rFonts w:hint="eastAsia" w:ascii="仿宋_GB2312" w:hAnsi="仿宋_GB2312" w:eastAsia="仿宋_GB2312" w:cs="仿宋_GB2312"/>
          <w:sz w:val="32"/>
          <w:szCs w:val="32"/>
        </w:rPr>
        <w:t>取消本轮比赛资格。</w:t>
      </w:r>
      <w:bookmarkStart w:id="0" w:name="_GoBack"/>
      <w:bookmarkEnd w:id="0"/>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参赛队员在未经裁判长允许的情况下私自与</w:t>
      </w:r>
      <w:r>
        <w:rPr>
          <w:rFonts w:hint="eastAsia" w:ascii="仿宋_GB2312" w:hAnsi="仿宋_GB2312" w:eastAsia="仿宋_GB2312" w:cs="仿宋_GB2312"/>
          <w:sz w:val="32"/>
          <w:szCs w:val="32"/>
          <w:lang w:val="en-US" w:eastAsia="zh-CN"/>
        </w:rPr>
        <w:t>指导教师</w:t>
      </w:r>
      <w:r>
        <w:rPr>
          <w:rFonts w:hint="eastAsia" w:ascii="仿宋_GB2312" w:hAnsi="仿宋_GB2312" w:eastAsia="仿宋_GB2312" w:cs="仿宋_GB2312"/>
          <w:sz w:val="32"/>
          <w:szCs w:val="32"/>
        </w:rPr>
        <w:t>或家长联系，将被取消本轮比赛资格。</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八、排名</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每个组别按总成绩排名。</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如果出现局部并列的排名，按如下顺序决定先后：</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所有场次用时总和少的队在前；</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所有场次中重试次数少的队在前；</w:t>
      </w:r>
    </w:p>
    <w:p>
      <w:pPr>
        <w:pStyle w:val="2"/>
        <w:keepNext w:val="0"/>
        <w:keepLines w:val="0"/>
        <w:pageBreakBefore w:val="0"/>
        <w:widowControl/>
        <w:kinsoku/>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所有场次中最高分高的队在前。</w:t>
      </w:r>
    </w:p>
    <w:p>
      <w:pPr>
        <w:keepNext w:val="0"/>
        <w:keepLines w:val="0"/>
        <w:pageBreakBefore w:val="0"/>
        <w:kinsoku/>
        <w:wordWrap/>
        <w:overflowPunct/>
        <w:topLinePunct w:val="0"/>
        <w:autoSpaceDE w:val="0"/>
        <w:autoSpaceDN w:val="0"/>
        <w:bidi w:val="0"/>
        <w:spacing w:before="47" w:line="189" w:lineRule="auto"/>
        <w:ind w:left="10812"/>
        <w:jc w:val="both"/>
        <w:rPr>
          <w:rFonts w:ascii="Times New Roman" w:hAnsi="Times New Roman" w:eastAsia="Times New Roman" w:cs="Times New Roman"/>
          <w:sz w:val="16"/>
          <w:szCs w:val="16"/>
        </w:rPr>
      </w:pPr>
      <w:r>
        <w:rPr>
          <w:rFonts w:ascii="Times New Roman" w:hAnsi="Times New Roman" w:eastAsia="Times New Roman" w:cs="Times New Roman"/>
          <w:spacing w:val="-1"/>
          <w:sz w:val="16"/>
          <w:szCs w:val="16"/>
        </w:rPr>
        <w:t>P1.24.v1.0</w:t>
      </w:r>
    </w:p>
    <w:p>
      <w:pPr>
        <w:keepNext w:val="0"/>
        <w:keepLines w:val="0"/>
        <w:pageBreakBefore w:val="0"/>
        <w:kinsoku/>
        <w:wordWrap/>
        <w:overflowPunct/>
        <w:topLinePunct w:val="0"/>
        <w:autoSpaceDE w:val="0"/>
        <w:autoSpaceDN w:val="0"/>
        <w:bidi w:val="0"/>
        <w:spacing w:line="189" w:lineRule="auto"/>
        <w:jc w:val="both"/>
        <w:rPr>
          <w:rFonts w:ascii="Times New Roman" w:hAnsi="Times New Roman" w:eastAsia="Times New Roman" w:cs="Times New Roman"/>
          <w:sz w:val="16"/>
          <w:szCs w:val="16"/>
        </w:rPr>
        <w:sectPr>
          <w:headerReference r:id="rId5" w:type="default"/>
          <w:footerReference r:id="rId6" w:type="default"/>
          <w:pgSz w:w="11906" w:h="16839"/>
          <w:pgMar w:top="2098" w:right="1474" w:bottom="1984" w:left="1587" w:header="0" w:footer="1417" w:gutter="0"/>
          <w:pgNumType w:fmt="numberInDash"/>
          <w:cols w:space="0" w:num="1"/>
          <w:rtlGutter w:val="0"/>
          <w:docGrid w:linePitch="0" w:charSpace="0"/>
        </w:sectPr>
      </w:pPr>
    </w:p>
    <w:p>
      <w:pPr>
        <w:pStyle w:val="2"/>
        <w:keepNext w:val="0"/>
        <w:keepLines w:val="0"/>
        <w:pageBreakBefore w:val="0"/>
        <w:kinsoku/>
        <w:wordWrap/>
        <w:overflowPunct/>
        <w:topLinePunct w:val="0"/>
        <w:autoSpaceDE w:val="0"/>
        <w:autoSpaceDN w:val="0"/>
        <w:bidi w:val="0"/>
        <w:jc w:val="both"/>
        <w:rPr>
          <w:rFonts w:hint="eastAsia" w:ascii="黑体" w:hAnsi="黑体" w:eastAsia="黑体" w:cs="黑体"/>
          <w:sz w:val="32"/>
          <w:szCs w:val="32"/>
        </w:rPr>
      </w:pPr>
      <w:r>
        <w:rPr>
          <w:rFonts w:hint="eastAsia" w:ascii="黑体" w:hAnsi="黑体" w:eastAsia="黑体" w:cs="黑体"/>
          <w:sz w:val="32"/>
          <w:szCs w:val="32"/>
        </w:rPr>
        <w:t>附件：</w:t>
      </w:r>
    </w:p>
    <w:p>
      <w:pPr>
        <w:pStyle w:val="2"/>
        <w:keepNext w:val="0"/>
        <w:keepLines w:val="0"/>
        <w:pageBreakBefore w:val="0"/>
        <w:kinsoku/>
        <w:wordWrap/>
        <w:overflowPunct/>
        <w:topLinePunct w:val="0"/>
        <w:autoSpaceDE w:val="0"/>
        <w:autoSpaceDN w:val="0"/>
        <w:bidi w:val="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互联网+</w:t>
      </w:r>
      <w:r>
        <w:rPr>
          <w:rFonts w:hint="eastAsia" w:ascii="方正小标宋简体" w:hAnsi="方正小标宋简体" w:eastAsia="方正小标宋简体" w:cs="方正小标宋简体"/>
          <w:sz w:val="36"/>
          <w:szCs w:val="36"/>
        </w:rPr>
        <w:t>运动会闭幕式计分表</w:t>
      </w:r>
    </w:p>
    <w:tbl>
      <w:tblPr>
        <w:tblStyle w:val="6"/>
        <w:tblpPr w:leftFromText="180" w:rightFromText="180" w:vertAnchor="text" w:horzAnchor="page" w:tblpX="1606" w:tblpY="9990"/>
        <w:tblOverlap w:val="never"/>
        <w:tblW w:w="8835" w:type="dxa"/>
        <w:tblInd w:w="0"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1589"/>
        <w:gridCol w:w="2569"/>
        <w:gridCol w:w="978"/>
        <w:gridCol w:w="3699"/>
      </w:tblGrid>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146" w:hRule="atLeast"/>
        </w:trPr>
        <w:tc>
          <w:tcPr>
            <w:tcW w:w="8835" w:type="dxa"/>
            <w:gridSpan w:val="4"/>
            <w:vAlign w:val="center"/>
          </w:tcPr>
          <w:p>
            <w:pPr>
              <w:pStyle w:val="2"/>
              <w:keepNext w:val="0"/>
              <w:keepLines w:val="0"/>
              <w:pageBreakBefore w:val="0"/>
              <w:kinsoku/>
              <w:wordWrap/>
              <w:overflowPunct/>
              <w:topLinePunct w:val="0"/>
              <w:autoSpaceDE w:val="0"/>
              <w:autoSpaceDN w:val="0"/>
              <w:bidi w:val="0"/>
              <w:jc w:val="both"/>
            </w:pPr>
            <w:r>
              <w:rPr>
                <w:b/>
                <w:bCs/>
              </w:rPr>
              <w:t>得分确认</w:t>
            </w:r>
            <w:r>
              <w:rPr>
                <w:rFonts w:hint="eastAsia"/>
                <w:b/>
                <w:bCs/>
                <w:lang w:eastAsia="zh-CN"/>
              </w:rPr>
              <w:t>（</w:t>
            </w:r>
            <w:r>
              <w:rPr>
                <w:b/>
                <w:bCs/>
              </w:rPr>
              <w:t>本人已确认以上比赛得分记录结果，真实有效，无任何异议。</w:t>
            </w:r>
            <w:r>
              <w:rPr>
                <w:rFonts w:hint="eastAsia"/>
                <w:b/>
                <w:bCs/>
                <w:lang w:eastAsia="zh-CN"/>
              </w:rPr>
              <w:t>）</w:t>
            </w: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624" w:hRule="atLeast"/>
        </w:trPr>
        <w:tc>
          <w:tcPr>
            <w:tcW w:w="1589" w:type="dxa"/>
            <w:vAlign w:val="center"/>
          </w:tcPr>
          <w:p>
            <w:pPr>
              <w:pStyle w:val="2"/>
              <w:keepNext w:val="0"/>
              <w:keepLines w:val="0"/>
              <w:pageBreakBefore w:val="0"/>
              <w:kinsoku/>
              <w:wordWrap/>
              <w:overflowPunct/>
              <w:topLinePunct w:val="0"/>
              <w:autoSpaceDE w:val="0"/>
              <w:autoSpaceDN w:val="0"/>
              <w:bidi w:val="0"/>
              <w:jc w:val="center"/>
            </w:pPr>
            <w:r>
              <w:t>参赛队员：</w:t>
            </w:r>
          </w:p>
        </w:tc>
        <w:tc>
          <w:tcPr>
            <w:tcW w:w="2569" w:type="dxa"/>
            <w:vAlign w:val="center"/>
          </w:tcPr>
          <w:p>
            <w:pPr>
              <w:pStyle w:val="2"/>
              <w:keepNext w:val="0"/>
              <w:keepLines w:val="0"/>
              <w:pageBreakBefore w:val="0"/>
              <w:kinsoku/>
              <w:wordWrap/>
              <w:overflowPunct/>
              <w:topLinePunct w:val="0"/>
              <w:autoSpaceDE w:val="0"/>
              <w:autoSpaceDN w:val="0"/>
              <w:bidi w:val="0"/>
              <w:jc w:val="center"/>
            </w:pPr>
          </w:p>
        </w:tc>
        <w:tc>
          <w:tcPr>
            <w:tcW w:w="978" w:type="dxa"/>
            <w:vAlign w:val="center"/>
          </w:tcPr>
          <w:p>
            <w:pPr>
              <w:pStyle w:val="2"/>
              <w:keepNext w:val="0"/>
              <w:keepLines w:val="0"/>
              <w:pageBreakBefore w:val="0"/>
              <w:kinsoku/>
              <w:wordWrap/>
              <w:overflowPunct/>
              <w:topLinePunct w:val="0"/>
              <w:autoSpaceDE w:val="0"/>
              <w:autoSpaceDN w:val="0"/>
              <w:bidi w:val="0"/>
              <w:jc w:val="center"/>
            </w:pPr>
            <w:r>
              <w:t>裁判员：</w:t>
            </w:r>
          </w:p>
        </w:tc>
        <w:tc>
          <w:tcPr>
            <w:tcW w:w="3699" w:type="dxa"/>
            <w:vAlign w:val="center"/>
          </w:tcPr>
          <w:p>
            <w:pPr>
              <w:pStyle w:val="2"/>
              <w:keepNext w:val="0"/>
              <w:keepLines w:val="0"/>
              <w:pageBreakBefore w:val="0"/>
              <w:kinsoku/>
              <w:wordWrap/>
              <w:overflowPunct/>
              <w:topLinePunct w:val="0"/>
              <w:autoSpaceDE w:val="0"/>
              <w:autoSpaceDN w:val="0"/>
              <w:bidi w:val="0"/>
              <w:jc w:val="cente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684" w:hRule="atLeast"/>
        </w:trPr>
        <w:tc>
          <w:tcPr>
            <w:tcW w:w="1589" w:type="dxa"/>
            <w:vAlign w:val="center"/>
          </w:tcPr>
          <w:p>
            <w:pPr>
              <w:pStyle w:val="2"/>
              <w:keepNext w:val="0"/>
              <w:keepLines w:val="0"/>
              <w:pageBreakBefore w:val="0"/>
              <w:kinsoku/>
              <w:wordWrap/>
              <w:overflowPunct/>
              <w:topLinePunct w:val="0"/>
              <w:autoSpaceDE w:val="0"/>
              <w:autoSpaceDN w:val="0"/>
              <w:bidi w:val="0"/>
              <w:jc w:val="center"/>
            </w:pPr>
            <w:r>
              <w:t>问题及备注</w:t>
            </w:r>
          </w:p>
        </w:tc>
        <w:tc>
          <w:tcPr>
            <w:tcW w:w="7246" w:type="dxa"/>
            <w:gridSpan w:val="3"/>
            <w:vAlign w:val="center"/>
          </w:tcPr>
          <w:p>
            <w:pPr>
              <w:pStyle w:val="2"/>
              <w:keepNext w:val="0"/>
              <w:keepLines w:val="0"/>
              <w:pageBreakBefore w:val="0"/>
              <w:kinsoku/>
              <w:wordWrap/>
              <w:overflowPunct/>
              <w:topLinePunct w:val="0"/>
              <w:autoSpaceDE w:val="0"/>
              <w:autoSpaceDN w:val="0"/>
              <w:bidi w:val="0"/>
              <w:jc w:val="center"/>
            </w:pPr>
          </w:p>
        </w:tc>
      </w:tr>
    </w:tbl>
    <w:p>
      <w:pPr>
        <w:pStyle w:val="2"/>
        <w:keepNext w:val="0"/>
        <w:keepLines w:val="0"/>
        <w:pageBreakBefore w:val="0"/>
        <w:kinsoku/>
        <w:wordWrap/>
        <w:overflowPunct/>
        <w:topLinePunct w:val="0"/>
        <w:autoSpaceDE w:val="0"/>
        <w:autoSpaceDN w:val="0"/>
        <w:bidi w:val="0"/>
        <w:ind w:firstLine="400" w:firstLineChars="200"/>
        <w:jc w:val="both"/>
        <w:rPr>
          <w:rFonts w:hint="default" w:eastAsia="微软雅黑"/>
          <w:u w:val="single"/>
          <w:lang w:val="en-US" w:eastAsia="zh-CN"/>
        </w:rPr>
      </w:pPr>
      <w:r>
        <w:rPr>
          <w:rFonts w:hint="default"/>
        </w:rPr>
        <w:t>参赛队</w:t>
      </w:r>
      <w:r>
        <w:rPr>
          <w:rFonts w:hint="eastAsia"/>
          <w:lang w:val="en-US" w:eastAsia="zh-CN"/>
        </w:rPr>
        <w:t>员</w:t>
      </w:r>
      <w:r>
        <w:rPr>
          <w:rFonts w:hint="default"/>
        </w:rPr>
        <w:t>：</w:t>
      </w:r>
      <w:r>
        <w:rPr>
          <w:rFonts w:hint="eastAsia"/>
          <w:u w:val="single"/>
          <w:lang w:val="en-US" w:eastAsia="zh-CN"/>
        </w:rPr>
        <w:t xml:space="preserve">                                        </w:t>
      </w:r>
      <w:r>
        <w:rPr>
          <w:rFonts w:hint="eastAsia"/>
          <w:lang w:val="en-US" w:eastAsia="zh-CN"/>
        </w:rPr>
        <w:t xml:space="preserve">           </w:t>
      </w:r>
      <w:r>
        <w:rPr>
          <w:rFonts w:hint="default"/>
          <w:lang w:val="en-US" w:eastAsia="zh-CN"/>
        </w:rPr>
        <w:t xml:space="preserve">        </w:t>
      </w:r>
      <w:r>
        <w:rPr>
          <w:rFonts w:hint="eastAsia"/>
          <w:lang w:val="en-US" w:eastAsia="zh-CN"/>
        </w:rPr>
        <w:t xml:space="preserve"> </w:t>
      </w:r>
      <w:r>
        <w:rPr>
          <w:rFonts w:hint="default"/>
          <w:lang w:val="en-US" w:eastAsia="zh-CN"/>
        </w:rPr>
        <w:t xml:space="preserve">  </w:t>
      </w:r>
      <w:r>
        <w:rPr>
          <w:rFonts w:hint="eastAsia"/>
          <w:lang w:val="en-US" w:eastAsia="zh-CN"/>
        </w:rPr>
        <w:t xml:space="preserve">       </w:t>
      </w:r>
      <w:r>
        <w:rPr>
          <w:rFonts w:hint="default"/>
          <w:lang w:val="en-US" w:eastAsia="zh-CN"/>
        </w:rPr>
        <w:t xml:space="preserve">        </w:t>
      </w:r>
      <w:r>
        <w:rPr>
          <w:rFonts w:hint="default"/>
        </w:rPr>
        <w:t>组别：</w:t>
      </w:r>
      <w:r>
        <w:rPr>
          <w:rFonts w:hint="eastAsia"/>
          <w:u w:val="single"/>
          <w:lang w:val="en-US" w:eastAsia="zh-CN"/>
        </w:rPr>
        <w:t xml:space="preserve">                             </w:t>
      </w:r>
    </w:p>
    <w:tbl>
      <w:tblPr>
        <w:tblStyle w:val="6"/>
        <w:tblpPr w:leftFromText="180" w:rightFromText="180" w:vertAnchor="text" w:horzAnchor="page" w:tblpX="1597" w:tblpY="171"/>
        <w:tblOverlap w:val="never"/>
        <w:tblW w:w="8820" w:type="dxa"/>
        <w:tblInd w:w="0"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1576"/>
        <w:gridCol w:w="3630"/>
        <w:gridCol w:w="780"/>
        <w:gridCol w:w="1365"/>
        <w:gridCol w:w="1469"/>
      </w:tblGrid>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390" w:hRule="atLeast"/>
        </w:trPr>
        <w:tc>
          <w:tcPr>
            <w:tcW w:w="1576" w:type="dxa"/>
            <w:vMerge w:val="restart"/>
            <w:vAlign w:val="center"/>
          </w:tcPr>
          <w:p>
            <w:pPr>
              <w:pStyle w:val="2"/>
              <w:keepNext w:val="0"/>
              <w:keepLines w:val="0"/>
              <w:pageBreakBefore w:val="0"/>
              <w:kinsoku/>
              <w:wordWrap/>
              <w:overflowPunct/>
              <w:topLinePunct w:val="0"/>
              <w:autoSpaceDE w:val="0"/>
              <w:autoSpaceDN w:val="0"/>
              <w:bidi w:val="0"/>
              <w:jc w:val="center"/>
            </w:pPr>
            <w:r>
              <w:t>任务</w:t>
            </w:r>
          </w:p>
        </w:tc>
        <w:tc>
          <w:tcPr>
            <w:tcW w:w="3630" w:type="dxa"/>
            <w:vMerge w:val="restart"/>
            <w:vAlign w:val="center"/>
          </w:tcPr>
          <w:p>
            <w:pPr>
              <w:pStyle w:val="2"/>
              <w:keepNext w:val="0"/>
              <w:keepLines w:val="0"/>
              <w:pageBreakBefore w:val="0"/>
              <w:kinsoku/>
              <w:wordWrap/>
              <w:overflowPunct/>
              <w:topLinePunct w:val="0"/>
              <w:autoSpaceDE w:val="0"/>
              <w:autoSpaceDN w:val="0"/>
              <w:bidi w:val="0"/>
              <w:jc w:val="center"/>
            </w:pPr>
            <w:r>
              <w:t>描述</w:t>
            </w:r>
          </w:p>
        </w:tc>
        <w:tc>
          <w:tcPr>
            <w:tcW w:w="780" w:type="dxa"/>
            <w:vMerge w:val="restart"/>
            <w:vAlign w:val="center"/>
          </w:tcPr>
          <w:p>
            <w:pPr>
              <w:pStyle w:val="2"/>
              <w:keepNext w:val="0"/>
              <w:keepLines w:val="0"/>
              <w:pageBreakBefore w:val="0"/>
              <w:kinsoku/>
              <w:wordWrap/>
              <w:overflowPunct/>
              <w:topLinePunct w:val="0"/>
              <w:autoSpaceDE w:val="0"/>
              <w:autoSpaceDN w:val="0"/>
              <w:bidi w:val="0"/>
              <w:jc w:val="center"/>
            </w:pPr>
            <w:r>
              <w:t>分值</w:t>
            </w:r>
          </w:p>
        </w:tc>
        <w:tc>
          <w:tcPr>
            <w:tcW w:w="2834" w:type="dxa"/>
            <w:gridSpan w:val="2"/>
            <w:tcBorders>
              <w:bottom w:val="single" w:color="auto" w:sz="4" w:space="0"/>
            </w:tcBorders>
            <w:vAlign w:val="center"/>
          </w:tcPr>
          <w:p>
            <w:pPr>
              <w:pStyle w:val="2"/>
              <w:keepNext w:val="0"/>
              <w:keepLines w:val="0"/>
              <w:pageBreakBefore w:val="0"/>
              <w:kinsoku/>
              <w:wordWrap/>
              <w:overflowPunct/>
              <w:topLinePunct w:val="0"/>
              <w:autoSpaceDE w:val="0"/>
              <w:autoSpaceDN w:val="0"/>
              <w:bidi w:val="0"/>
              <w:jc w:val="center"/>
            </w:pPr>
            <w:r>
              <w:t>得分</w:t>
            </w: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21" w:hRule="atLeast"/>
        </w:trPr>
        <w:tc>
          <w:tcPr>
            <w:tcW w:w="1576" w:type="dxa"/>
            <w:vMerge w:val="continue"/>
            <w:vAlign w:val="center"/>
          </w:tcPr>
          <w:p>
            <w:pPr>
              <w:pStyle w:val="2"/>
              <w:keepNext w:val="0"/>
              <w:keepLines w:val="0"/>
              <w:pageBreakBefore w:val="0"/>
              <w:kinsoku/>
              <w:wordWrap/>
              <w:overflowPunct/>
              <w:topLinePunct w:val="0"/>
              <w:autoSpaceDE w:val="0"/>
              <w:autoSpaceDN w:val="0"/>
              <w:bidi w:val="0"/>
              <w:jc w:val="both"/>
            </w:pPr>
          </w:p>
        </w:tc>
        <w:tc>
          <w:tcPr>
            <w:tcW w:w="3630" w:type="dxa"/>
            <w:vMerge w:val="continue"/>
            <w:vAlign w:val="center"/>
          </w:tcPr>
          <w:p>
            <w:pPr>
              <w:pStyle w:val="2"/>
              <w:keepNext w:val="0"/>
              <w:keepLines w:val="0"/>
              <w:pageBreakBefore w:val="0"/>
              <w:kinsoku/>
              <w:wordWrap/>
              <w:overflowPunct/>
              <w:topLinePunct w:val="0"/>
              <w:autoSpaceDE w:val="0"/>
              <w:autoSpaceDN w:val="0"/>
              <w:bidi w:val="0"/>
              <w:jc w:val="both"/>
            </w:pPr>
          </w:p>
        </w:tc>
        <w:tc>
          <w:tcPr>
            <w:tcW w:w="780" w:type="dxa"/>
            <w:vMerge w:val="continue"/>
            <w:vAlign w:val="center"/>
          </w:tcPr>
          <w:p>
            <w:pPr>
              <w:pStyle w:val="2"/>
              <w:keepNext w:val="0"/>
              <w:keepLines w:val="0"/>
              <w:pageBreakBefore w:val="0"/>
              <w:kinsoku/>
              <w:wordWrap/>
              <w:overflowPunct/>
              <w:topLinePunct w:val="0"/>
              <w:autoSpaceDE w:val="0"/>
              <w:autoSpaceDN w:val="0"/>
              <w:bidi w:val="0"/>
              <w:jc w:val="both"/>
            </w:pPr>
          </w:p>
        </w:tc>
        <w:tc>
          <w:tcPr>
            <w:tcW w:w="1365" w:type="dxa"/>
            <w:tcBorders>
              <w:top w:val="single" w:color="auto" w:sz="4" w:space="0"/>
              <w:right w:val="single" w:color="auto" w:sz="4" w:space="0"/>
            </w:tcBorders>
            <w:vAlign w:val="center"/>
          </w:tcPr>
          <w:p>
            <w:pPr>
              <w:pStyle w:val="2"/>
              <w:keepNext w:val="0"/>
              <w:keepLines w:val="0"/>
              <w:pageBreakBefore w:val="0"/>
              <w:kinsoku/>
              <w:wordWrap/>
              <w:overflowPunct/>
              <w:topLinePunct w:val="0"/>
              <w:autoSpaceDE w:val="0"/>
              <w:autoSpaceDN w:val="0"/>
              <w:bidi w:val="0"/>
              <w:jc w:val="both"/>
              <w:rPr>
                <w:rFonts w:hint="eastAsia" w:eastAsia="微软雅黑"/>
                <w:lang w:val="en-US" w:eastAsia="zh-CN"/>
              </w:rPr>
            </w:pPr>
            <w:r>
              <w:rPr>
                <w:rFonts w:hint="eastAsia"/>
                <w:lang w:val="en-US" w:eastAsia="zh-CN"/>
              </w:rPr>
              <w:t>第一轮</w:t>
            </w:r>
          </w:p>
        </w:tc>
        <w:tc>
          <w:tcPr>
            <w:tcW w:w="1469" w:type="dxa"/>
            <w:tcBorders>
              <w:top w:val="single" w:color="auto" w:sz="4" w:space="0"/>
              <w:left w:val="single" w:color="auto" w:sz="4" w:space="0"/>
            </w:tcBorders>
            <w:vAlign w:val="center"/>
          </w:tcPr>
          <w:p>
            <w:pPr>
              <w:pStyle w:val="2"/>
              <w:keepNext w:val="0"/>
              <w:keepLines w:val="0"/>
              <w:pageBreakBefore w:val="0"/>
              <w:kinsoku/>
              <w:wordWrap/>
              <w:overflowPunct/>
              <w:topLinePunct w:val="0"/>
              <w:autoSpaceDE w:val="0"/>
              <w:autoSpaceDN w:val="0"/>
              <w:bidi w:val="0"/>
              <w:jc w:val="both"/>
              <w:rPr>
                <w:rFonts w:hint="eastAsia" w:eastAsia="微软雅黑"/>
                <w:lang w:val="en-US" w:eastAsia="zh-CN"/>
              </w:rPr>
            </w:pPr>
            <w:r>
              <w:rPr>
                <w:rFonts w:hint="eastAsia"/>
                <w:lang w:val="en-US" w:eastAsia="zh-CN"/>
              </w:rPr>
              <w:t>第二轮</w:t>
            </w: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10" w:hRule="atLeast"/>
        </w:trPr>
        <w:tc>
          <w:tcPr>
            <w:tcW w:w="1576" w:type="dxa"/>
            <w:vAlign w:val="center"/>
          </w:tcPr>
          <w:p>
            <w:pPr>
              <w:pStyle w:val="2"/>
              <w:keepNext w:val="0"/>
              <w:keepLines w:val="0"/>
              <w:pageBreakBefore w:val="0"/>
              <w:kinsoku/>
              <w:wordWrap/>
              <w:overflowPunct/>
              <w:topLinePunct w:val="0"/>
              <w:autoSpaceDE w:val="0"/>
              <w:autoSpaceDN w:val="0"/>
              <w:bidi w:val="0"/>
              <w:jc w:val="center"/>
            </w:pPr>
            <w:r>
              <w:t>烟花表演</w:t>
            </w:r>
          </w:p>
        </w:tc>
        <w:tc>
          <w:tcPr>
            <w:tcW w:w="3630" w:type="dxa"/>
            <w:vAlign w:val="center"/>
          </w:tcPr>
          <w:p>
            <w:pPr>
              <w:pStyle w:val="2"/>
              <w:keepNext w:val="0"/>
              <w:keepLines w:val="0"/>
              <w:pageBreakBefore w:val="0"/>
              <w:kinsoku/>
              <w:wordWrap/>
              <w:overflowPunct/>
              <w:topLinePunct w:val="0"/>
              <w:autoSpaceDE w:val="0"/>
              <w:autoSpaceDN w:val="0"/>
              <w:bidi w:val="0"/>
              <w:jc w:val="center"/>
            </w:pPr>
            <w:r>
              <w:t>烟花绽放（2个30梁接触）</w:t>
            </w:r>
          </w:p>
        </w:tc>
        <w:tc>
          <w:tcPr>
            <w:tcW w:w="780" w:type="dxa"/>
            <w:vAlign w:val="center"/>
          </w:tcPr>
          <w:p>
            <w:pPr>
              <w:pStyle w:val="2"/>
              <w:keepNext w:val="0"/>
              <w:keepLines w:val="0"/>
              <w:pageBreakBefore w:val="0"/>
              <w:kinsoku/>
              <w:wordWrap/>
              <w:overflowPunct/>
              <w:topLinePunct w:val="0"/>
              <w:autoSpaceDE w:val="0"/>
              <w:autoSpaceDN w:val="0"/>
              <w:bidi w:val="0"/>
              <w:jc w:val="center"/>
            </w:pPr>
            <w:r>
              <w:t>50</w:t>
            </w:r>
          </w:p>
        </w:tc>
        <w:tc>
          <w:tcPr>
            <w:tcW w:w="1365" w:type="dxa"/>
            <w:tcBorders>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c>
          <w:tcPr>
            <w:tcW w:w="1469" w:type="dxa"/>
            <w:tcBorders>
              <w:lef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10" w:hRule="atLeast"/>
        </w:trPr>
        <w:tc>
          <w:tcPr>
            <w:tcW w:w="1576" w:type="dxa"/>
            <w:vAlign w:val="center"/>
          </w:tcPr>
          <w:p>
            <w:pPr>
              <w:pStyle w:val="2"/>
              <w:keepNext w:val="0"/>
              <w:keepLines w:val="0"/>
              <w:pageBreakBefore w:val="0"/>
              <w:kinsoku/>
              <w:wordWrap/>
              <w:overflowPunct/>
              <w:topLinePunct w:val="0"/>
              <w:autoSpaceDE w:val="0"/>
              <w:autoSpaceDN w:val="0"/>
              <w:bidi w:val="0"/>
              <w:jc w:val="center"/>
            </w:pPr>
            <w:r>
              <w:t>代表团入场</w:t>
            </w:r>
          </w:p>
        </w:tc>
        <w:tc>
          <w:tcPr>
            <w:tcW w:w="3630" w:type="dxa"/>
            <w:vAlign w:val="center"/>
          </w:tcPr>
          <w:p>
            <w:pPr>
              <w:pStyle w:val="2"/>
              <w:keepNext w:val="0"/>
              <w:keepLines w:val="0"/>
              <w:pageBreakBefore w:val="0"/>
              <w:kinsoku/>
              <w:wordWrap/>
              <w:overflowPunct/>
              <w:topLinePunct w:val="0"/>
              <w:autoSpaceDE w:val="0"/>
              <w:autoSpaceDN w:val="0"/>
              <w:bidi w:val="0"/>
              <w:jc w:val="center"/>
            </w:pPr>
            <w:r>
              <w:t>代表团与场地接触部分完全在框线内</w:t>
            </w:r>
          </w:p>
          <w:p>
            <w:pPr>
              <w:pStyle w:val="2"/>
              <w:keepNext w:val="0"/>
              <w:keepLines w:val="0"/>
              <w:pageBreakBefore w:val="0"/>
              <w:kinsoku/>
              <w:wordWrap/>
              <w:overflowPunct/>
              <w:topLinePunct w:val="0"/>
              <w:autoSpaceDE w:val="0"/>
              <w:autoSpaceDN w:val="0"/>
              <w:bidi w:val="0"/>
              <w:jc w:val="center"/>
            </w:pPr>
            <w:r>
              <w:t>（压线不得分），且为站立状态</w:t>
            </w:r>
          </w:p>
        </w:tc>
        <w:tc>
          <w:tcPr>
            <w:tcW w:w="780" w:type="dxa"/>
            <w:vAlign w:val="center"/>
          </w:tcPr>
          <w:p>
            <w:pPr>
              <w:pStyle w:val="2"/>
              <w:keepNext w:val="0"/>
              <w:keepLines w:val="0"/>
              <w:pageBreakBefore w:val="0"/>
              <w:kinsoku/>
              <w:wordWrap/>
              <w:overflowPunct/>
              <w:topLinePunct w:val="0"/>
              <w:autoSpaceDE w:val="0"/>
              <w:autoSpaceDN w:val="0"/>
              <w:bidi w:val="0"/>
              <w:jc w:val="center"/>
            </w:pPr>
            <w:r>
              <w:t>60</w:t>
            </w:r>
          </w:p>
        </w:tc>
        <w:tc>
          <w:tcPr>
            <w:tcW w:w="1365" w:type="dxa"/>
            <w:tcBorders>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c>
          <w:tcPr>
            <w:tcW w:w="1469" w:type="dxa"/>
            <w:tcBorders>
              <w:lef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10" w:hRule="atLeast"/>
        </w:trPr>
        <w:tc>
          <w:tcPr>
            <w:tcW w:w="1576" w:type="dxa"/>
            <w:vAlign w:val="center"/>
          </w:tcPr>
          <w:p>
            <w:pPr>
              <w:pStyle w:val="2"/>
              <w:keepNext w:val="0"/>
              <w:keepLines w:val="0"/>
              <w:pageBreakBefore w:val="0"/>
              <w:kinsoku/>
              <w:wordWrap/>
              <w:overflowPunct/>
              <w:topLinePunct w:val="0"/>
              <w:autoSpaceDE w:val="0"/>
              <w:autoSpaceDN w:val="0"/>
              <w:bidi w:val="0"/>
              <w:jc w:val="center"/>
            </w:pPr>
            <w:r>
              <w:t>文艺表演</w:t>
            </w:r>
          </w:p>
        </w:tc>
        <w:tc>
          <w:tcPr>
            <w:tcW w:w="3630" w:type="dxa"/>
            <w:vAlign w:val="center"/>
          </w:tcPr>
          <w:p>
            <w:pPr>
              <w:pStyle w:val="2"/>
              <w:keepNext w:val="0"/>
              <w:keepLines w:val="0"/>
              <w:pageBreakBefore w:val="0"/>
              <w:kinsoku/>
              <w:wordWrap/>
              <w:overflowPunct/>
              <w:topLinePunct w:val="0"/>
              <w:autoSpaceDE w:val="0"/>
              <w:autoSpaceDN w:val="0"/>
              <w:bidi w:val="0"/>
              <w:jc w:val="center"/>
            </w:pPr>
            <w:r>
              <w:t>舞者为站立姿势（磁铁吸合），</w:t>
            </w:r>
          </w:p>
          <w:p>
            <w:pPr>
              <w:pStyle w:val="2"/>
              <w:keepNext w:val="0"/>
              <w:keepLines w:val="0"/>
              <w:pageBreakBefore w:val="0"/>
              <w:kinsoku/>
              <w:wordWrap/>
              <w:overflowPunct/>
              <w:topLinePunct w:val="0"/>
              <w:autoSpaceDE w:val="0"/>
              <w:autoSpaceDN w:val="0"/>
              <w:bidi w:val="0"/>
              <w:jc w:val="center"/>
            </w:pPr>
            <w:r>
              <w:t>且腿部与底部 50单孔梁接触</w:t>
            </w:r>
          </w:p>
        </w:tc>
        <w:tc>
          <w:tcPr>
            <w:tcW w:w="780" w:type="dxa"/>
            <w:vAlign w:val="center"/>
          </w:tcPr>
          <w:p>
            <w:pPr>
              <w:pStyle w:val="2"/>
              <w:keepNext w:val="0"/>
              <w:keepLines w:val="0"/>
              <w:pageBreakBefore w:val="0"/>
              <w:kinsoku/>
              <w:wordWrap/>
              <w:overflowPunct/>
              <w:topLinePunct w:val="0"/>
              <w:autoSpaceDE w:val="0"/>
              <w:autoSpaceDN w:val="0"/>
              <w:bidi w:val="0"/>
              <w:jc w:val="center"/>
            </w:pPr>
            <w:r>
              <w:t>60</w:t>
            </w:r>
          </w:p>
        </w:tc>
        <w:tc>
          <w:tcPr>
            <w:tcW w:w="1365" w:type="dxa"/>
            <w:tcBorders>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c>
          <w:tcPr>
            <w:tcW w:w="1469" w:type="dxa"/>
            <w:tcBorders>
              <w:lef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10" w:hRule="atLeast"/>
        </w:trPr>
        <w:tc>
          <w:tcPr>
            <w:tcW w:w="1576" w:type="dxa"/>
            <w:vAlign w:val="center"/>
          </w:tcPr>
          <w:p>
            <w:pPr>
              <w:pStyle w:val="2"/>
              <w:keepNext w:val="0"/>
              <w:keepLines w:val="0"/>
              <w:pageBreakBefore w:val="0"/>
              <w:kinsoku/>
              <w:wordWrap/>
              <w:overflowPunct/>
              <w:topLinePunct w:val="0"/>
              <w:autoSpaceDE w:val="0"/>
              <w:autoSpaceDN w:val="0"/>
              <w:bidi w:val="0"/>
              <w:jc w:val="center"/>
            </w:pPr>
            <w:r>
              <w:t>闭幕致辞</w:t>
            </w:r>
          </w:p>
        </w:tc>
        <w:tc>
          <w:tcPr>
            <w:tcW w:w="3630" w:type="dxa"/>
            <w:vAlign w:val="center"/>
          </w:tcPr>
          <w:p>
            <w:pPr>
              <w:pStyle w:val="2"/>
              <w:keepNext w:val="0"/>
              <w:keepLines w:val="0"/>
              <w:pageBreakBefore w:val="0"/>
              <w:kinsoku/>
              <w:wordWrap/>
              <w:overflowPunct/>
              <w:topLinePunct w:val="0"/>
              <w:autoSpaceDE w:val="0"/>
              <w:autoSpaceDN w:val="0"/>
              <w:bidi w:val="0"/>
              <w:jc w:val="center"/>
            </w:pPr>
            <w:r>
              <w:t>30 单孔梁垂直投影不与底板接触</w:t>
            </w:r>
          </w:p>
        </w:tc>
        <w:tc>
          <w:tcPr>
            <w:tcW w:w="780" w:type="dxa"/>
            <w:vAlign w:val="center"/>
          </w:tcPr>
          <w:p>
            <w:pPr>
              <w:pStyle w:val="2"/>
              <w:keepNext w:val="0"/>
              <w:keepLines w:val="0"/>
              <w:pageBreakBefore w:val="0"/>
              <w:kinsoku/>
              <w:wordWrap/>
              <w:overflowPunct/>
              <w:topLinePunct w:val="0"/>
              <w:autoSpaceDE w:val="0"/>
              <w:autoSpaceDN w:val="0"/>
              <w:bidi w:val="0"/>
              <w:jc w:val="center"/>
            </w:pPr>
            <w:r>
              <w:t>50</w:t>
            </w:r>
          </w:p>
        </w:tc>
        <w:tc>
          <w:tcPr>
            <w:tcW w:w="1365" w:type="dxa"/>
            <w:tcBorders>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c>
          <w:tcPr>
            <w:tcW w:w="1469" w:type="dxa"/>
            <w:tcBorders>
              <w:lef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10" w:hRule="atLeast"/>
        </w:trPr>
        <w:tc>
          <w:tcPr>
            <w:tcW w:w="1576" w:type="dxa"/>
            <w:vAlign w:val="center"/>
          </w:tcPr>
          <w:p>
            <w:pPr>
              <w:pStyle w:val="2"/>
              <w:keepNext w:val="0"/>
              <w:keepLines w:val="0"/>
              <w:pageBreakBefore w:val="0"/>
              <w:kinsoku/>
              <w:wordWrap/>
              <w:overflowPunct/>
              <w:topLinePunct w:val="0"/>
              <w:autoSpaceDE w:val="0"/>
              <w:autoSpaceDN w:val="0"/>
              <w:bidi w:val="0"/>
              <w:jc w:val="center"/>
            </w:pPr>
            <w:r>
              <w:t>会旗交接</w:t>
            </w:r>
          </w:p>
        </w:tc>
        <w:tc>
          <w:tcPr>
            <w:tcW w:w="3630" w:type="dxa"/>
            <w:vAlign w:val="center"/>
          </w:tcPr>
          <w:p>
            <w:pPr>
              <w:pStyle w:val="2"/>
              <w:keepNext w:val="0"/>
              <w:keepLines w:val="0"/>
              <w:pageBreakBefore w:val="0"/>
              <w:kinsoku/>
              <w:wordWrap/>
              <w:overflowPunct/>
              <w:topLinePunct w:val="0"/>
              <w:autoSpaceDE w:val="0"/>
              <w:autoSpaceDN w:val="0"/>
              <w:bidi w:val="0"/>
              <w:jc w:val="center"/>
            </w:pPr>
            <w:r>
              <w:t>会旗底部和中部磁铁分别与</w:t>
            </w:r>
          </w:p>
          <w:p>
            <w:pPr>
              <w:pStyle w:val="2"/>
              <w:keepNext w:val="0"/>
              <w:keepLines w:val="0"/>
              <w:pageBreakBefore w:val="0"/>
              <w:kinsoku/>
              <w:wordWrap/>
              <w:overflowPunct/>
              <w:topLinePunct w:val="0"/>
              <w:autoSpaceDE w:val="0"/>
              <w:autoSpaceDN w:val="0"/>
              <w:bidi w:val="0"/>
              <w:jc w:val="center"/>
            </w:pPr>
            <w:r>
              <w:t>举办地代表下方和手臂磁铁吸合</w:t>
            </w:r>
          </w:p>
        </w:tc>
        <w:tc>
          <w:tcPr>
            <w:tcW w:w="780" w:type="dxa"/>
            <w:vAlign w:val="center"/>
          </w:tcPr>
          <w:p>
            <w:pPr>
              <w:pStyle w:val="2"/>
              <w:keepNext w:val="0"/>
              <w:keepLines w:val="0"/>
              <w:pageBreakBefore w:val="0"/>
              <w:kinsoku/>
              <w:wordWrap/>
              <w:overflowPunct/>
              <w:topLinePunct w:val="0"/>
              <w:autoSpaceDE w:val="0"/>
              <w:autoSpaceDN w:val="0"/>
              <w:bidi w:val="0"/>
              <w:jc w:val="center"/>
            </w:pPr>
            <w:r>
              <w:t>60</w:t>
            </w:r>
          </w:p>
        </w:tc>
        <w:tc>
          <w:tcPr>
            <w:tcW w:w="1365" w:type="dxa"/>
            <w:tcBorders>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c>
          <w:tcPr>
            <w:tcW w:w="1469" w:type="dxa"/>
            <w:tcBorders>
              <w:lef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10" w:hRule="atLeast"/>
        </w:trPr>
        <w:tc>
          <w:tcPr>
            <w:tcW w:w="1576" w:type="dxa"/>
            <w:vAlign w:val="center"/>
          </w:tcPr>
          <w:p>
            <w:pPr>
              <w:pStyle w:val="2"/>
              <w:keepNext w:val="0"/>
              <w:keepLines w:val="0"/>
              <w:pageBreakBefore w:val="0"/>
              <w:kinsoku/>
              <w:wordWrap/>
              <w:overflowPunct/>
              <w:topLinePunct w:val="0"/>
              <w:autoSpaceDE w:val="0"/>
              <w:autoSpaceDN w:val="0"/>
              <w:bidi w:val="0"/>
              <w:jc w:val="center"/>
            </w:pPr>
            <w:r>
              <w:t>颁奖仪式</w:t>
            </w:r>
          </w:p>
        </w:tc>
        <w:tc>
          <w:tcPr>
            <w:tcW w:w="3630" w:type="dxa"/>
            <w:vAlign w:val="center"/>
          </w:tcPr>
          <w:p>
            <w:pPr>
              <w:pStyle w:val="2"/>
              <w:keepNext w:val="0"/>
              <w:keepLines w:val="0"/>
              <w:pageBreakBefore w:val="0"/>
              <w:kinsoku/>
              <w:wordWrap/>
              <w:overflowPunct/>
              <w:topLinePunct w:val="0"/>
              <w:autoSpaceDE w:val="0"/>
              <w:autoSpaceDN w:val="0"/>
              <w:bidi w:val="0"/>
              <w:jc w:val="center"/>
            </w:pPr>
            <w:r>
              <w:t>中间运动员胳膊与垂线的夹角≥0°,</w:t>
            </w:r>
          </w:p>
          <w:p>
            <w:pPr>
              <w:pStyle w:val="2"/>
              <w:keepNext w:val="0"/>
              <w:keepLines w:val="0"/>
              <w:pageBreakBefore w:val="0"/>
              <w:kinsoku/>
              <w:wordWrap/>
              <w:overflowPunct/>
              <w:topLinePunct w:val="0"/>
              <w:autoSpaceDE w:val="0"/>
              <w:autoSpaceDN w:val="0"/>
              <w:bidi w:val="0"/>
              <w:jc w:val="center"/>
            </w:pPr>
            <w:r>
              <w:t>且奖牌在脖子上</w:t>
            </w:r>
          </w:p>
        </w:tc>
        <w:tc>
          <w:tcPr>
            <w:tcW w:w="780" w:type="dxa"/>
            <w:vAlign w:val="center"/>
          </w:tcPr>
          <w:p>
            <w:pPr>
              <w:pStyle w:val="2"/>
              <w:keepNext w:val="0"/>
              <w:keepLines w:val="0"/>
              <w:pageBreakBefore w:val="0"/>
              <w:kinsoku/>
              <w:wordWrap/>
              <w:overflowPunct/>
              <w:topLinePunct w:val="0"/>
              <w:autoSpaceDE w:val="0"/>
              <w:autoSpaceDN w:val="0"/>
              <w:bidi w:val="0"/>
              <w:jc w:val="center"/>
            </w:pPr>
            <w:r>
              <w:t>50</w:t>
            </w:r>
          </w:p>
        </w:tc>
        <w:tc>
          <w:tcPr>
            <w:tcW w:w="1365" w:type="dxa"/>
            <w:tcBorders>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c>
          <w:tcPr>
            <w:tcW w:w="1469" w:type="dxa"/>
            <w:tcBorders>
              <w:lef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10" w:hRule="atLeast"/>
        </w:trPr>
        <w:tc>
          <w:tcPr>
            <w:tcW w:w="1576" w:type="dxa"/>
            <w:vAlign w:val="center"/>
          </w:tcPr>
          <w:p>
            <w:pPr>
              <w:pStyle w:val="2"/>
              <w:keepNext w:val="0"/>
              <w:keepLines w:val="0"/>
              <w:pageBreakBefore w:val="0"/>
              <w:kinsoku/>
              <w:wordWrap/>
              <w:overflowPunct/>
              <w:topLinePunct w:val="0"/>
              <w:autoSpaceDE w:val="0"/>
              <w:autoSpaceDN w:val="0"/>
              <w:bidi w:val="0"/>
              <w:jc w:val="center"/>
            </w:pPr>
            <w:r>
              <w:t>圣火熄灭</w:t>
            </w:r>
          </w:p>
        </w:tc>
        <w:tc>
          <w:tcPr>
            <w:tcW w:w="3630" w:type="dxa"/>
            <w:vAlign w:val="center"/>
          </w:tcPr>
          <w:p>
            <w:pPr>
              <w:pStyle w:val="2"/>
              <w:keepNext w:val="0"/>
              <w:keepLines w:val="0"/>
              <w:pageBreakBefore w:val="0"/>
              <w:kinsoku/>
              <w:wordWrap/>
              <w:overflowPunct/>
              <w:topLinePunct w:val="0"/>
              <w:autoSpaceDE w:val="0"/>
              <w:autoSpaceDN w:val="0"/>
              <w:bidi w:val="0"/>
              <w:jc w:val="center"/>
            </w:pPr>
            <w:r>
              <w:t>拉杆完全脱离任务模型，</w:t>
            </w:r>
          </w:p>
          <w:p>
            <w:pPr>
              <w:pStyle w:val="2"/>
              <w:keepNext w:val="0"/>
              <w:keepLines w:val="0"/>
              <w:pageBreakBefore w:val="0"/>
              <w:kinsoku/>
              <w:wordWrap/>
              <w:overflowPunct/>
              <w:topLinePunct w:val="0"/>
              <w:autoSpaceDE w:val="0"/>
              <w:autoSpaceDN w:val="0"/>
              <w:bidi w:val="0"/>
              <w:jc w:val="center"/>
            </w:pPr>
            <w:r>
              <w:t>圣火与底部转盘齿轮接触，2个50梁接触</w:t>
            </w:r>
          </w:p>
        </w:tc>
        <w:tc>
          <w:tcPr>
            <w:tcW w:w="780" w:type="dxa"/>
            <w:vAlign w:val="center"/>
          </w:tcPr>
          <w:p>
            <w:pPr>
              <w:pStyle w:val="2"/>
              <w:keepNext w:val="0"/>
              <w:keepLines w:val="0"/>
              <w:pageBreakBefore w:val="0"/>
              <w:kinsoku/>
              <w:wordWrap/>
              <w:overflowPunct/>
              <w:topLinePunct w:val="0"/>
              <w:autoSpaceDE w:val="0"/>
              <w:autoSpaceDN w:val="0"/>
              <w:bidi w:val="0"/>
              <w:jc w:val="center"/>
            </w:pPr>
            <w:r>
              <w:t>70</w:t>
            </w:r>
          </w:p>
        </w:tc>
        <w:tc>
          <w:tcPr>
            <w:tcW w:w="1365" w:type="dxa"/>
            <w:tcBorders>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c>
          <w:tcPr>
            <w:tcW w:w="1469" w:type="dxa"/>
            <w:tcBorders>
              <w:lef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10" w:hRule="atLeast"/>
        </w:trPr>
        <w:tc>
          <w:tcPr>
            <w:tcW w:w="1576" w:type="dxa"/>
            <w:vAlign w:val="center"/>
          </w:tcPr>
          <w:p>
            <w:pPr>
              <w:pStyle w:val="2"/>
              <w:keepNext w:val="0"/>
              <w:keepLines w:val="0"/>
              <w:pageBreakBefore w:val="0"/>
              <w:kinsoku/>
              <w:wordWrap/>
              <w:overflowPunct/>
              <w:topLinePunct w:val="0"/>
              <w:autoSpaceDE w:val="0"/>
              <w:autoSpaceDN w:val="0"/>
              <w:bidi w:val="0"/>
              <w:jc w:val="center"/>
            </w:pPr>
            <w:r>
              <w:t>8分钟展演</w:t>
            </w:r>
          </w:p>
        </w:tc>
        <w:tc>
          <w:tcPr>
            <w:tcW w:w="3630" w:type="dxa"/>
            <w:vAlign w:val="center"/>
          </w:tcPr>
          <w:p>
            <w:pPr>
              <w:pStyle w:val="2"/>
              <w:keepNext w:val="0"/>
              <w:keepLines w:val="0"/>
              <w:pageBreakBefore w:val="0"/>
              <w:kinsoku/>
              <w:wordWrap/>
              <w:overflowPunct/>
              <w:topLinePunct w:val="0"/>
              <w:autoSpaceDE w:val="0"/>
              <w:autoSpaceDN w:val="0"/>
              <w:bidi w:val="0"/>
              <w:jc w:val="center"/>
            </w:pPr>
            <w:r>
              <w:t>识别最上方表演人员衣服颜色，</w:t>
            </w:r>
          </w:p>
          <w:p>
            <w:pPr>
              <w:pStyle w:val="2"/>
              <w:keepNext w:val="0"/>
              <w:keepLines w:val="0"/>
              <w:pageBreakBefore w:val="0"/>
              <w:kinsoku/>
              <w:wordWrap/>
              <w:overflowPunct/>
              <w:topLinePunct w:val="0"/>
              <w:autoSpaceDE w:val="0"/>
              <w:autoSpaceDN w:val="0"/>
              <w:bidi w:val="0"/>
              <w:jc w:val="center"/>
            </w:pPr>
            <w:r>
              <w:t>同时指示灯仅亮出对应的颜色至少2秒</w:t>
            </w:r>
          </w:p>
        </w:tc>
        <w:tc>
          <w:tcPr>
            <w:tcW w:w="780" w:type="dxa"/>
            <w:vAlign w:val="center"/>
          </w:tcPr>
          <w:p>
            <w:pPr>
              <w:pStyle w:val="2"/>
              <w:keepNext w:val="0"/>
              <w:keepLines w:val="0"/>
              <w:pageBreakBefore w:val="0"/>
              <w:kinsoku/>
              <w:wordWrap/>
              <w:overflowPunct/>
              <w:topLinePunct w:val="0"/>
              <w:autoSpaceDE w:val="0"/>
              <w:autoSpaceDN w:val="0"/>
              <w:bidi w:val="0"/>
              <w:jc w:val="center"/>
            </w:pPr>
            <w:r>
              <w:t>80</w:t>
            </w:r>
          </w:p>
        </w:tc>
        <w:tc>
          <w:tcPr>
            <w:tcW w:w="1365" w:type="dxa"/>
            <w:tcBorders>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c>
          <w:tcPr>
            <w:tcW w:w="1469" w:type="dxa"/>
            <w:tcBorders>
              <w:lef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10" w:hRule="atLeast"/>
        </w:trPr>
        <w:tc>
          <w:tcPr>
            <w:tcW w:w="1576" w:type="dxa"/>
            <w:vAlign w:val="center"/>
          </w:tcPr>
          <w:p>
            <w:pPr>
              <w:pStyle w:val="2"/>
              <w:keepNext w:val="0"/>
              <w:keepLines w:val="0"/>
              <w:pageBreakBefore w:val="0"/>
              <w:kinsoku/>
              <w:wordWrap/>
              <w:overflowPunct/>
              <w:topLinePunct w:val="0"/>
              <w:autoSpaceDE w:val="0"/>
              <w:autoSpaceDN w:val="0"/>
              <w:bidi w:val="0"/>
              <w:jc w:val="center"/>
            </w:pPr>
            <w:r>
              <w:t>传承荣耀</w:t>
            </w:r>
          </w:p>
        </w:tc>
        <w:tc>
          <w:tcPr>
            <w:tcW w:w="3630" w:type="dxa"/>
            <w:vAlign w:val="center"/>
          </w:tcPr>
          <w:p>
            <w:pPr>
              <w:pStyle w:val="2"/>
              <w:keepNext w:val="0"/>
              <w:keepLines w:val="0"/>
              <w:pageBreakBefore w:val="0"/>
              <w:kinsoku/>
              <w:wordWrap/>
              <w:overflowPunct/>
              <w:topLinePunct w:val="0"/>
              <w:autoSpaceDE w:val="0"/>
              <w:autoSpaceDN w:val="0"/>
              <w:bidi w:val="0"/>
              <w:jc w:val="center"/>
            </w:pPr>
            <w:r>
              <w:t>机器人部分正投影在基地内</w:t>
            </w:r>
          </w:p>
        </w:tc>
        <w:tc>
          <w:tcPr>
            <w:tcW w:w="780" w:type="dxa"/>
            <w:vAlign w:val="center"/>
          </w:tcPr>
          <w:p>
            <w:pPr>
              <w:pStyle w:val="2"/>
              <w:keepNext w:val="0"/>
              <w:keepLines w:val="0"/>
              <w:pageBreakBefore w:val="0"/>
              <w:kinsoku/>
              <w:wordWrap/>
              <w:overflowPunct/>
              <w:topLinePunct w:val="0"/>
              <w:autoSpaceDE w:val="0"/>
              <w:autoSpaceDN w:val="0"/>
              <w:bidi w:val="0"/>
              <w:jc w:val="center"/>
            </w:pPr>
            <w:r>
              <w:t>40</w:t>
            </w:r>
          </w:p>
        </w:tc>
        <w:tc>
          <w:tcPr>
            <w:tcW w:w="1365" w:type="dxa"/>
            <w:tcBorders>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c>
          <w:tcPr>
            <w:tcW w:w="1469" w:type="dxa"/>
            <w:tcBorders>
              <w:lef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10" w:hRule="atLeast"/>
        </w:trPr>
        <w:tc>
          <w:tcPr>
            <w:tcW w:w="1576" w:type="dxa"/>
            <w:vAlign w:val="center"/>
          </w:tcPr>
          <w:p>
            <w:pPr>
              <w:pStyle w:val="2"/>
              <w:keepNext w:val="0"/>
              <w:keepLines w:val="0"/>
              <w:pageBreakBefore w:val="0"/>
              <w:kinsoku/>
              <w:wordWrap/>
              <w:overflowPunct/>
              <w:topLinePunct w:val="0"/>
              <w:autoSpaceDE w:val="0"/>
              <w:autoSpaceDN w:val="0"/>
              <w:bidi w:val="0"/>
              <w:jc w:val="center"/>
            </w:pPr>
            <w:r>
              <w:t>流畅奖励</w:t>
            </w:r>
          </w:p>
        </w:tc>
        <w:tc>
          <w:tcPr>
            <w:tcW w:w="3630" w:type="dxa"/>
            <w:vAlign w:val="center"/>
          </w:tcPr>
          <w:p>
            <w:pPr>
              <w:pStyle w:val="2"/>
              <w:keepNext w:val="0"/>
              <w:keepLines w:val="0"/>
              <w:pageBreakBefore w:val="0"/>
              <w:kinsoku/>
              <w:wordWrap/>
              <w:overflowPunct/>
              <w:topLinePunct w:val="0"/>
              <w:autoSpaceDE w:val="0"/>
              <w:autoSpaceDN w:val="0"/>
              <w:bidi w:val="0"/>
              <w:jc w:val="center"/>
            </w:pPr>
            <w:r>
              <w:t>40-（重试次数）*10，且大等于0</w:t>
            </w:r>
          </w:p>
        </w:tc>
        <w:tc>
          <w:tcPr>
            <w:tcW w:w="780" w:type="dxa"/>
            <w:vAlign w:val="center"/>
          </w:tcPr>
          <w:p>
            <w:pPr>
              <w:pStyle w:val="2"/>
              <w:keepNext w:val="0"/>
              <w:keepLines w:val="0"/>
              <w:pageBreakBefore w:val="0"/>
              <w:kinsoku/>
              <w:wordWrap/>
              <w:overflowPunct/>
              <w:topLinePunct w:val="0"/>
              <w:autoSpaceDE w:val="0"/>
              <w:autoSpaceDN w:val="0"/>
              <w:bidi w:val="0"/>
              <w:jc w:val="center"/>
            </w:pPr>
          </w:p>
        </w:tc>
        <w:tc>
          <w:tcPr>
            <w:tcW w:w="1365" w:type="dxa"/>
            <w:tcBorders>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c>
          <w:tcPr>
            <w:tcW w:w="1469" w:type="dxa"/>
            <w:tcBorders>
              <w:lef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10" w:hRule="atLeast"/>
        </w:trPr>
        <w:tc>
          <w:tcPr>
            <w:tcW w:w="5986" w:type="dxa"/>
            <w:gridSpan w:val="3"/>
            <w:tcBorders>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r>
              <w:rPr>
                <w:rFonts w:hint="eastAsia"/>
                <w:lang w:val="en-US" w:eastAsia="zh-CN"/>
              </w:rPr>
              <w:t>单轮总分</w:t>
            </w:r>
          </w:p>
        </w:tc>
        <w:tc>
          <w:tcPr>
            <w:tcW w:w="1365" w:type="dxa"/>
            <w:tcBorders>
              <w:left w:val="single" w:color="auto" w:sz="4" w:space="0"/>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c>
          <w:tcPr>
            <w:tcW w:w="1469" w:type="dxa"/>
            <w:tcBorders>
              <w:lef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23" w:hRule="atLeast"/>
        </w:trPr>
        <w:tc>
          <w:tcPr>
            <w:tcW w:w="5986" w:type="dxa"/>
            <w:gridSpan w:val="3"/>
            <w:tcBorders>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r>
              <w:t>单轮用时</w:t>
            </w:r>
          </w:p>
        </w:tc>
        <w:tc>
          <w:tcPr>
            <w:tcW w:w="1365" w:type="dxa"/>
            <w:tcBorders>
              <w:left w:val="single" w:color="auto" w:sz="4" w:space="0"/>
              <w:righ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c>
          <w:tcPr>
            <w:tcW w:w="1469" w:type="dxa"/>
            <w:tcBorders>
              <w:left w:val="single" w:color="auto" w:sz="4" w:space="0"/>
            </w:tcBorders>
            <w:vAlign w:val="center"/>
          </w:tcPr>
          <w:p>
            <w:pPr>
              <w:pStyle w:val="2"/>
              <w:keepNext w:val="0"/>
              <w:keepLines w:val="0"/>
              <w:pageBreakBefore w:val="0"/>
              <w:kinsoku/>
              <w:wordWrap/>
              <w:overflowPunct/>
              <w:topLinePunct w:val="0"/>
              <w:autoSpaceDE w:val="0"/>
              <w:autoSpaceDN w:val="0"/>
              <w:bidi w:val="0"/>
              <w:jc w:val="center"/>
            </w:pPr>
          </w:p>
        </w:tc>
      </w:tr>
      <w:tr>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23" w:hRule="atLeast"/>
        </w:trPr>
        <w:tc>
          <w:tcPr>
            <w:tcW w:w="5986" w:type="dxa"/>
            <w:gridSpan w:val="3"/>
            <w:vAlign w:val="center"/>
          </w:tcPr>
          <w:p>
            <w:pPr>
              <w:pStyle w:val="2"/>
              <w:keepNext w:val="0"/>
              <w:keepLines w:val="0"/>
              <w:pageBreakBefore w:val="0"/>
              <w:kinsoku/>
              <w:wordWrap/>
              <w:overflowPunct/>
              <w:topLinePunct w:val="0"/>
              <w:autoSpaceDE w:val="0"/>
              <w:autoSpaceDN w:val="0"/>
              <w:bidi w:val="0"/>
              <w:jc w:val="center"/>
            </w:pPr>
            <w:r>
              <w:rPr>
                <w:rFonts w:hint="eastAsia"/>
                <w:b/>
                <w:bCs/>
                <w:lang w:val="en-US" w:eastAsia="zh-CN"/>
              </w:rPr>
              <w:t>整场比赛</w:t>
            </w:r>
            <w:r>
              <w:rPr>
                <w:b/>
                <w:bCs/>
              </w:rPr>
              <w:t>总</w:t>
            </w:r>
            <w:r>
              <w:rPr>
                <w:rFonts w:hint="eastAsia"/>
                <w:b/>
                <w:bCs/>
                <w:lang w:val="en-US" w:eastAsia="zh-CN"/>
              </w:rPr>
              <w:t>得</w:t>
            </w:r>
            <w:r>
              <w:rPr>
                <w:b/>
                <w:bCs/>
              </w:rPr>
              <w:t>分</w:t>
            </w:r>
          </w:p>
        </w:tc>
        <w:tc>
          <w:tcPr>
            <w:tcW w:w="2834" w:type="dxa"/>
            <w:gridSpan w:val="2"/>
            <w:vAlign w:val="center"/>
          </w:tcPr>
          <w:p>
            <w:pPr>
              <w:pStyle w:val="2"/>
              <w:keepNext w:val="0"/>
              <w:keepLines w:val="0"/>
              <w:pageBreakBefore w:val="0"/>
              <w:kinsoku/>
              <w:wordWrap/>
              <w:overflowPunct/>
              <w:topLinePunct w:val="0"/>
              <w:autoSpaceDE w:val="0"/>
              <w:autoSpaceDN w:val="0"/>
              <w:bidi w:val="0"/>
              <w:jc w:val="center"/>
            </w:pPr>
          </w:p>
        </w:tc>
      </w:tr>
    </w:tbl>
    <w:p>
      <w:pPr>
        <w:pStyle w:val="2"/>
        <w:keepNext w:val="0"/>
        <w:keepLines w:val="0"/>
        <w:pageBreakBefore w:val="0"/>
        <w:kinsoku/>
        <w:wordWrap/>
        <w:overflowPunct/>
        <w:topLinePunct w:val="0"/>
        <w:autoSpaceDE w:val="0"/>
        <w:autoSpaceDN w:val="0"/>
        <w:bidi w:val="0"/>
      </w:pPr>
    </w:p>
    <w:sectPr>
      <w:headerReference r:id="rId7" w:type="default"/>
      <w:footerReference r:id="rId8" w:type="default"/>
      <w:pgSz w:w="11906" w:h="16839"/>
      <w:pgMar w:top="2098" w:right="1474" w:bottom="1984" w:left="1587" w:header="0" w:footer="0"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3"/>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rPr>
        <w:sz w:val="2"/>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pPr>
                      <w:pStyle w:val="3"/>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zIxOTQ3ZDFkZDkxYWE5MTY2N2Q0NjRhZjdlZmIyMDIifQ=="/>
  </w:docVars>
  <w:rsids>
    <w:rsidRoot w:val="00000000"/>
    <w:rsid w:val="010158D6"/>
    <w:rsid w:val="02D50DC8"/>
    <w:rsid w:val="045B70AB"/>
    <w:rsid w:val="04956A61"/>
    <w:rsid w:val="088C3CD7"/>
    <w:rsid w:val="10AC73CE"/>
    <w:rsid w:val="13545D39"/>
    <w:rsid w:val="14097E34"/>
    <w:rsid w:val="14180B15"/>
    <w:rsid w:val="1A400DC5"/>
    <w:rsid w:val="1B356450"/>
    <w:rsid w:val="1C8A1443"/>
    <w:rsid w:val="1F680DBD"/>
    <w:rsid w:val="1FC555DF"/>
    <w:rsid w:val="22873A35"/>
    <w:rsid w:val="25183342"/>
    <w:rsid w:val="29BD7D3C"/>
    <w:rsid w:val="2EED29C4"/>
    <w:rsid w:val="2F633B3A"/>
    <w:rsid w:val="311C78EE"/>
    <w:rsid w:val="36A4475E"/>
    <w:rsid w:val="381E5657"/>
    <w:rsid w:val="386F2B4A"/>
    <w:rsid w:val="3F25255D"/>
    <w:rsid w:val="3FE23DCB"/>
    <w:rsid w:val="401A783F"/>
    <w:rsid w:val="42EC7F37"/>
    <w:rsid w:val="42FE51F6"/>
    <w:rsid w:val="48757D08"/>
    <w:rsid w:val="4B41301F"/>
    <w:rsid w:val="4D8D78A2"/>
    <w:rsid w:val="4F067A32"/>
    <w:rsid w:val="50B52516"/>
    <w:rsid w:val="50D41344"/>
    <w:rsid w:val="51456821"/>
    <w:rsid w:val="530D2FD9"/>
    <w:rsid w:val="547C2F28"/>
    <w:rsid w:val="54BC6A3F"/>
    <w:rsid w:val="5C2F421A"/>
    <w:rsid w:val="62774225"/>
    <w:rsid w:val="63A13700"/>
    <w:rsid w:val="64A77044"/>
    <w:rsid w:val="65ED4F2A"/>
    <w:rsid w:val="67877C10"/>
    <w:rsid w:val="6C414B20"/>
    <w:rsid w:val="6E0F4C21"/>
    <w:rsid w:val="6EED0B2A"/>
    <w:rsid w:val="722C2A0D"/>
    <w:rsid w:val="737D612F"/>
    <w:rsid w:val="73BE7F06"/>
    <w:rsid w:val="73D66283"/>
    <w:rsid w:val="75D03F74"/>
    <w:rsid w:val="7D4C6582"/>
    <w:rsid w:val="7D5F62B6"/>
    <w:rsid w:val="7DDA17EC"/>
    <w:rsid w:val="7DF86670"/>
    <w:rsid w:val="7FC1709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微软雅黑" w:hAnsi="微软雅黑" w:eastAsia="微软雅黑" w:cs="微软雅黑"/>
      <w:sz w:val="20"/>
      <w:szCs w:val="20"/>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微软雅黑" w:hAnsi="微软雅黑" w:eastAsia="微软雅黑" w:cs="微软雅黑"/>
      <w:sz w:val="18"/>
      <w:szCs w:val="1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customXml" Target="../customXml/item1.xml"/><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1300</TotalTime>
  <ScaleCrop>false</ScaleCrop>
  <LinksUpToDate>false</LinksUpToDate>
  <Application>WPS Office_12.1.0.15990_F1E327BC-269C-435d-A152-05C5408002CA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2023-09-22T11:10:00Z</dcterms:created>
  <dc:creator>Linford.JK</dc:creator>
  <cp:lastModifiedBy>Yellow-Nils</cp:lastModifiedBy>
  <dcterms:modified xsi:type="dcterms:W3CDTF">2023-12-25T08:47:43Z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2023-11-23T10:15:31Z</vt:filetime>
  </property>
  <property fmtid="{D5CDD505-2E9C-101B-9397-08002B2CF9AE}" pid="4" name="KSOProductBuildVer">
    <vt:lpwstr>2052-12.1.0.15990</vt:lpwstr>
  </property>
  <property fmtid="{D5CDD505-2E9C-101B-9397-08002B2CF9AE}" pid="5" name="ICV">
    <vt:lpwstr>BE4B20EE8A0249139B10656385CF73A5_13</vt:lpwstr>
  </property>
</Properties>
</file>