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石嘴山市第十五中学教学设计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1894"/>
        <w:gridCol w:w="883"/>
        <w:gridCol w:w="1331"/>
        <w:gridCol w:w="247"/>
        <w:gridCol w:w="852"/>
        <w:gridCol w:w="2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111" w:type="pct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时钧炜</w:t>
            </w:r>
          </w:p>
        </w:tc>
        <w:tc>
          <w:tcPr>
            <w:tcW w:w="518" w:type="pc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学科</w:t>
            </w:r>
          </w:p>
        </w:tc>
        <w:tc>
          <w:tcPr>
            <w:tcW w:w="926" w:type="pct"/>
            <w:gridSpan w:val="2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语文</w:t>
            </w:r>
          </w:p>
        </w:tc>
        <w:tc>
          <w:tcPr>
            <w:tcW w:w="500" w:type="pc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</w:t>
            </w:r>
          </w:p>
        </w:tc>
        <w:tc>
          <w:tcPr>
            <w:tcW w:w="1220" w:type="pct"/>
          </w:tcPr>
          <w:p>
            <w:pPr>
              <w:rPr>
                <w:rFonts w:hint="eastAsia" w:eastAsia="等线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2023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年</w:t>
            </w:r>
            <w:r>
              <w:rPr>
                <w:rFonts w:hint="eastAsia"/>
                <w:sz w:val="28"/>
                <w:szCs w:val="28"/>
              </w:rPr>
              <w:t>4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课题</w:t>
            </w:r>
          </w:p>
        </w:tc>
        <w:tc>
          <w:tcPr>
            <w:tcW w:w="4274" w:type="pct"/>
            <w:gridSpan w:val="6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《短文两篇》 第三课时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  <w:vAlign w:val="center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课型</w:t>
            </w:r>
          </w:p>
        </w:tc>
        <w:tc>
          <w:tcPr>
            <w:tcW w:w="4274" w:type="pct"/>
            <w:gridSpan w:val="6"/>
            <w:vAlign w:val="center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新授课 </w:t>
            </w:r>
            <w:r>
              <w:rPr>
                <w:rFonts w:hint="eastAsia"/>
                <w:color w:val="FF0000"/>
                <w:sz w:val="28"/>
                <w:szCs w:val="28"/>
              </w:rPr>
              <w:t>口</w:t>
            </w:r>
            <w:r>
              <w:rPr>
                <w:rFonts w:ascii="Arial" w:hAnsi="Arial" w:cs="Arial"/>
                <w:color w:val="FF0000"/>
                <w:sz w:val="28"/>
                <w:szCs w:val="28"/>
              </w:rPr>
              <w:t>√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 xml:space="preserve">章/单元复习课 口 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 xml:space="preserve">专题复习课 口 </w:t>
            </w:r>
            <w:r>
              <w:rPr>
                <w:sz w:val="28"/>
                <w:szCs w:val="28"/>
              </w:rPr>
              <w:t xml:space="preserve">  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习题试卷讲评课 口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 xml:space="preserve">学科实践活动课 口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其它 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>
            <w:pPr>
              <w:pStyle w:val="14"/>
              <w:ind w:firstLine="0" w:firstLineChars="0"/>
              <w:rPr>
                <w:rFonts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1教学内容分析：</w:t>
            </w:r>
          </w:p>
          <w:p>
            <w:pPr>
              <w:spacing w:line="360" w:lineRule="auto"/>
              <w:ind w:firstLine="560" w:firstLineChars="200"/>
              <w:rPr>
                <w:rFonts w:asciiTheme="minorEastAsia" w:hAnsiTheme="minorEastAsia" w:eastAsiaTheme="minorEastAsia"/>
                <w:color w:val="7030A0"/>
                <w:sz w:val="28"/>
                <w:szCs w:val="28"/>
              </w:rPr>
            </w:pPr>
            <w:r>
              <w:rPr>
                <w:rFonts w:hint="eastAsia" w:cs="华文细黑" w:asciiTheme="minorEastAsia" w:hAnsiTheme="minorEastAsia"/>
                <w:sz w:val="28"/>
                <w:szCs w:val="28"/>
              </w:rPr>
              <w:t>《短文两篇》作为名篇佳作，积累语言材料，提高鉴赏能力和审美情趣。养成自觉诵读的习惯，初步培养文言文的语感；让学生自主地学习，用探究的方式由表及里地理解文言文。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>
            <w:pPr>
              <w:pStyle w:val="14"/>
              <w:ind w:firstLine="0" w:firstLineChars="0"/>
              <w:rPr>
                <w:rFonts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2课标要求：</w:t>
            </w:r>
          </w:p>
          <w:p>
            <w:pPr>
              <w:ind w:left="560" w:firstLine="420" w:firstLineChars="150"/>
              <w:jc w:val="left"/>
              <w:rPr>
                <w:rFonts w:asciiTheme="minorEastAsia" w:hAnsiTheme="minorEastAsia" w:eastAsiaTheme="minorEastAsia"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诵读古代诗歌，阅读浅易文言文，能借助注释和工具书理解基本内容，注重积累、感悟和运用，提高自己的欣赏品味。</w:t>
            </w:r>
            <w:r>
              <w:rPr>
                <w:rFonts w:hint="eastAsia" w:asciiTheme="minorEastAsia" w:hAnsiTheme="minorEastAsia" w:eastAsiaTheme="minorEastAsia"/>
                <w:color w:val="7030A0"/>
                <w:sz w:val="28"/>
                <w:szCs w:val="28"/>
              </w:rPr>
              <w:t>（课标16页）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>
            <w:pPr>
              <w:rPr>
                <w:rFonts w:asciiTheme="minorEastAsia" w:hAnsiTheme="minorEastAsia" w:eastAsiaTheme="minorEastAsia"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3.学情分析</w:t>
            </w:r>
          </w:p>
          <w:p>
            <w:pPr>
              <w:ind w:firstLine="560" w:firstLineChars="2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有一定的文言知识基础，文言词汇积累掌握较好，能较快地读懂文意；文言文诵读能力较弱；对两篇文章的主旨内涵，需要引导、讨论才能得出结论；课堂需要通过适当的激励，着重打开学生的思维，调动学生的积极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>
            <w:pPr>
              <w:rPr>
                <w:rFonts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4.教学目标</w:t>
            </w:r>
          </w:p>
          <w:p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（1）</w:t>
            </w:r>
            <w:r>
              <w:rPr>
                <w:sz w:val="28"/>
                <w:szCs w:val="28"/>
              </w:rPr>
              <w:t>概括君子具备的品质，分析两篇文章里君子气质的不同。</w:t>
            </w:r>
          </w:p>
          <w:p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（2）</w:t>
            </w:r>
            <w:r>
              <w:rPr>
                <w:sz w:val="28"/>
                <w:szCs w:val="28"/>
              </w:rPr>
              <w:t>比较两文</w:t>
            </w:r>
            <w:r>
              <w:rPr>
                <w:rFonts w:hint="eastAsia"/>
                <w:sz w:val="28"/>
                <w:szCs w:val="28"/>
              </w:rPr>
              <w:t>，</w:t>
            </w:r>
            <w:r>
              <w:rPr>
                <w:sz w:val="28"/>
                <w:szCs w:val="28"/>
              </w:rPr>
              <w:t>体会托物言志的写法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（3）</w:t>
            </w:r>
            <w:r>
              <w:rPr>
                <w:sz w:val="28"/>
                <w:szCs w:val="28"/>
              </w:rPr>
              <w:t>感悟君子的品格，感受君子文化，树立君子榜样。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>
            <w:pPr>
              <w:rPr>
                <w:rFonts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5.教学重点和难点</w:t>
            </w:r>
          </w:p>
          <w:p>
            <w:pPr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教学重点：</w:t>
            </w:r>
            <w:r>
              <w:rPr>
                <w:sz w:val="28"/>
                <w:szCs w:val="28"/>
              </w:rPr>
              <w:t>概括君子具备的品质，分析两篇文章里君子的不同气质。</w:t>
            </w:r>
          </w:p>
          <w:p>
            <w:pPr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教学难点：</w:t>
            </w:r>
            <w:r>
              <w:rPr>
                <w:sz w:val="28"/>
                <w:szCs w:val="28"/>
              </w:rPr>
              <w:t>感悟君子的品格，感受君子文化，树立君子榜样。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dashed" w:color="auto" w:sz="4" w:space="0"/>
            </w:tcBorders>
          </w:tcPr>
          <w:p>
            <w:pPr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6.学习活动设计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rPr>
                <w:rFonts w:asciiTheme="minorEastAsia" w:hAnsiTheme="minorEastAsia" w:eastAsiaTheme="minorEastAsia"/>
                <w:b/>
                <w:bCs/>
                <w:sz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 xml:space="preserve">环节一 </w:t>
            </w:r>
            <w:r>
              <w:rPr>
                <w:rFonts w:asciiTheme="minorEastAsia" w:hAnsiTheme="minorEastAsia" w:eastAsiaTheme="minorEastAsia"/>
                <w:sz w:val="32"/>
                <w:szCs w:val="28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</w:rPr>
              <w:t>复习导入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3135" w:type="pct"/>
            <w:gridSpan w:val="4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教师活动</w:t>
            </w:r>
          </w:p>
          <w:p>
            <w:pPr>
              <w:ind w:firstLine="560" w:firstLineChars="2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天行健，君子以自强不息；地势坤，君子以厚德载物”可谓是很多奋斗者的座右铭，其中所讲的“君子”更是一种理想的人格典范，今天我们继续学习《陋室铭》和《爱莲说》，借这两篇短文，了解“君子”风范，感悟“君子”之道。</w:t>
            </w:r>
          </w:p>
        </w:tc>
        <w:tc>
          <w:tcPr>
            <w:tcW w:w="1864" w:type="pct"/>
            <w:gridSpan w:val="3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rPr>
                <w:rFonts w:asciiTheme="minorEastAsia" w:hAnsiTheme="minorEastAsia" w:eastAsiaTheme="minorEastAsia"/>
                <w:sz w:val="3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32"/>
                <w:szCs w:val="28"/>
              </w:rPr>
              <w:t>学生活动</w:t>
            </w:r>
          </w:p>
          <w:p>
            <w:pPr>
              <w:spacing w:line="360" w:lineRule="auto"/>
              <w:jc w:val="left"/>
              <w:rPr>
                <w:rFonts w:asciiTheme="minorEastAsia" w:hAnsiTheme="minorEastAsia" w:eastAsiaTheme="minorEastAsia"/>
                <w:sz w:val="32"/>
              </w:rPr>
            </w:pPr>
          </w:p>
          <w:p>
            <w:pPr>
              <w:rPr>
                <w:rFonts w:asciiTheme="minorEastAsia" w:hAnsiTheme="minorEastAsia" w:eastAsiaTheme="minorEastAsia"/>
                <w:sz w:val="32"/>
              </w:rPr>
            </w:pPr>
            <w:r>
              <w:rPr>
                <w:rFonts w:asciiTheme="minorEastAsia" w:hAnsiTheme="minorEastAsia" w:eastAsiaTheme="minorEastAsia"/>
                <w:sz w:val="32"/>
              </w:rPr>
              <w:t>朗读</w:t>
            </w:r>
            <w:r>
              <w:rPr>
                <w:rFonts w:hint="eastAsia" w:asciiTheme="minorEastAsia" w:hAnsiTheme="minorEastAsia" w:eastAsiaTheme="minorEastAsia"/>
                <w:sz w:val="32"/>
              </w:rPr>
              <w:t>、</w:t>
            </w:r>
            <w:r>
              <w:rPr>
                <w:rFonts w:asciiTheme="minorEastAsia" w:hAnsiTheme="minorEastAsia" w:eastAsiaTheme="minorEastAsia"/>
                <w:sz w:val="32"/>
              </w:rPr>
              <w:t>识记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1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ind w:firstLine="560" w:firstLineChars="200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活动意图说明：激发学习兴趣，导入新课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1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 xml:space="preserve">环节二  </w:t>
            </w:r>
            <w:r>
              <w:rPr>
                <w:rFonts w:hint="eastAsia"/>
                <w:sz w:val="28"/>
                <w:szCs w:val="28"/>
              </w:rPr>
              <w:t>自主学习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3135" w:type="pct"/>
            <w:gridSpan w:val="4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任务一  </w:t>
            </w:r>
            <w:r>
              <w:rPr>
                <w:rFonts w:hint="eastAsia"/>
                <w:sz w:val="28"/>
                <w:szCs w:val="28"/>
              </w:rPr>
              <w:t>：</w:t>
            </w:r>
            <w:r>
              <w:rPr>
                <w:sz w:val="28"/>
                <w:szCs w:val="28"/>
              </w:rPr>
              <w:t xml:space="preserve"> 朗读传韵</w:t>
            </w:r>
          </w:p>
          <w:p>
            <w:pPr>
              <w:ind w:firstLine="560" w:firstLineChars="20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请同学们和老师合作读一遍《陋室铭》和《爱莲说》，大屏显示，老师读黑字部分，学生读红字部分。读完，发现两篇文章句式上有什么特点了吗？</w:t>
            </w:r>
          </w:p>
          <w:p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任务二 </w:t>
            </w:r>
            <w:r>
              <w:rPr>
                <w:rFonts w:hint="eastAsia"/>
                <w:sz w:val="28"/>
                <w:szCs w:val="28"/>
              </w:rPr>
              <w:t>：</w:t>
            </w:r>
            <w:r>
              <w:rPr>
                <w:sz w:val="28"/>
                <w:szCs w:val="28"/>
              </w:rPr>
              <w:t xml:space="preserve">品读入境    </w:t>
            </w:r>
          </w:p>
          <w:p>
            <w:pPr>
              <w:ind w:firstLine="560" w:firstLineChars="20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在两篇文章里都提到了“君子”</w:t>
            </w:r>
            <w:r>
              <w:rPr>
                <w:rFonts w:hint="eastAsia"/>
                <w:sz w:val="28"/>
                <w:szCs w:val="28"/>
              </w:rPr>
              <w:t>，</w:t>
            </w:r>
            <w:r>
              <w:rPr>
                <w:sz w:val="28"/>
                <w:szCs w:val="28"/>
              </w:rPr>
              <w:t>两者都没有直接写君子，而是借它物来写，写法：托物言志。</w:t>
            </w:r>
          </w:p>
          <w:p>
            <w:pPr>
              <w:ind w:firstLine="560" w:firstLineChars="20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分组大声朗读课文，你发现两文章法的相同之处了吗？</w:t>
            </w:r>
          </w:p>
          <w:p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过渡：明白了托物言志类文章的章法，下面自由朗读课文</w:t>
            </w:r>
          </w:p>
          <w:p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65" w:type="pct"/>
            <w:gridSpan w:val="3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rPr>
                <w:rFonts w:hint="eastAsia" w:asciiTheme="minorEastAsia" w:hAnsiTheme="minorEastAsia" w:eastAsiaTheme="minorEastAsia"/>
                <w:sz w:val="3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32"/>
                <w:szCs w:val="28"/>
              </w:rPr>
              <w:t>1.学生朗读红体部分</w:t>
            </w:r>
          </w:p>
          <w:p>
            <w:pPr>
              <w:rPr>
                <w:rFonts w:hint="eastAsia" w:asciiTheme="minorEastAsia" w:hAnsiTheme="minorEastAsia" w:eastAsiaTheme="minorEastAsia"/>
                <w:sz w:val="3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32"/>
                <w:szCs w:val="28"/>
              </w:rPr>
              <w:t>2.比较两篇文章的句式特点。</w:t>
            </w: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32"/>
                <w:szCs w:val="28"/>
              </w:rPr>
              <w:t>3．</w:t>
            </w:r>
            <w:r>
              <w:rPr>
                <w:sz w:val="28"/>
                <w:szCs w:val="28"/>
              </w:rPr>
              <w:t>大屏出示，齐读托物言志的含义。</w:t>
            </w: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4．男女分组朗读</w:t>
            </w:r>
          </w:p>
          <w:p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5.比较章法。</w:t>
            </w:r>
          </w:p>
          <w:p>
            <w:pPr>
              <w:ind w:firstLine="560" w:firstLineChars="20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两文章法的共同之处：引出事物、描述事物、寄寓志意。这也是托物言志类文章的基本</w:t>
            </w:r>
            <w:r>
              <w:rPr>
                <w:rFonts w:hint="eastAsia"/>
                <w:sz w:val="28"/>
                <w:szCs w:val="28"/>
              </w:rPr>
              <w:t>写</w:t>
            </w:r>
            <w:r>
              <w:rPr>
                <w:sz w:val="28"/>
                <w:szCs w:val="28"/>
              </w:rPr>
              <w:t>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ind w:firstLine="560" w:firstLineChars="200"/>
              <w:rPr>
                <w:rFonts w:asciiTheme="minorEastAsia" w:hAnsiTheme="minorEastAsia" w:eastAsiaTheme="minorEastAsia"/>
                <w:sz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活动意图说明：通过比较，掌握短文两篇的基本写法，理解课文内容。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rPr>
                <w:rFonts w:asciiTheme="minorEastAsia" w:hAnsiTheme="minorEastAsia" w:eastAsia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 xml:space="preserve">环节三  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细读品味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3135" w:type="pct"/>
            <w:gridSpan w:val="4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任务三：悟读赏析</w:t>
            </w:r>
          </w:p>
          <w:p>
            <w:pPr>
              <w:ind w:firstLine="840" w:firstLineChars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自由朗读课文，找一找刘禹锡和周敦颐笔下的君子分别具备哪些美好的品质，各批注一处，紧扣文中的关键词、句分析，分享交流。</w:t>
            </w:r>
          </w:p>
        </w:tc>
        <w:tc>
          <w:tcPr>
            <w:tcW w:w="1865" w:type="pct"/>
            <w:gridSpan w:val="3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</w:p>
          <w:p>
            <w:pPr>
              <w:pStyle w:val="14"/>
              <w:numPr>
                <w:ilvl w:val="0"/>
                <w:numId w:val="1"/>
              </w:numPr>
              <w:ind w:firstLineChars="0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阅读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、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体会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、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批注</w:t>
            </w:r>
          </w:p>
          <w:p>
            <w:pPr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2.分享、交流</w:t>
            </w:r>
          </w:p>
          <w:p>
            <w:pPr>
              <w:pStyle w:val="14"/>
              <w:ind w:left="720" w:firstLine="0" w:firstLineChars="0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ind w:firstLine="560" w:firstLineChars="200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活动意图说明：进一步刘禹锡、周敦颐高洁傲岸的情操，理解学习本文的现实意义。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rPr>
                <w:rFonts w:asciiTheme="minorEastAsia" w:hAnsiTheme="minorEastAsia" w:eastAsiaTheme="minorEastAsia"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 xml:space="preserve">环节四 </w:t>
            </w:r>
            <w:r>
              <w:rPr>
                <w:rFonts w:hint="eastAsia" w:asciiTheme="minorEastAsia" w:hAnsiTheme="minorEastAsia" w:eastAsiaTheme="minorEastAsia"/>
                <w:bCs/>
                <w:sz w:val="28"/>
                <w:szCs w:val="28"/>
              </w:rPr>
              <w:t>拓展延伸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3135" w:type="pct"/>
            <w:gridSpan w:val="4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single" w:color="auto" w:sz="4" w:space="0"/>
            </w:tcBorders>
          </w:tcPr>
          <w:p>
            <w:pPr>
              <w:ind w:firstLine="560" w:firstLineChars="2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《论语》中有关“君子”的句子有107处，选择几句送给同学们，可以挑选其中你喜欢的一句作为座右铭。</w:t>
            </w:r>
          </w:p>
        </w:tc>
        <w:tc>
          <w:tcPr>
            <w:tcW w:w="1865" w:type="pct"/>
            <w:gridSpan w:val="3"/>
            <w:tcBorders>
              <w:top w:val="dashed" w:color="auto" w:sz="4" w:space="0"/>
              <w:left w:val="single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ind w:firstLine="560" w:firstLineChars="200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</w:p>
          <w:p>
            <w:pPr>
              <w:spacing w:line="360" w:lineRule="auto"/>
              <w:ind w:firstLine="560" w:firstLineChars="200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阅读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、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积累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spacing w:line="360" w:lineRule="auto"/>
              <w:ind w:firstLine="560" w:firstLineChars="200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活动意图说明：激发学生更好的面对生活中的困难和挫折，树立正确的人生观。</w:t>
            </w:r>
          </w:p>
          <w:p>
            <w:pPr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rPr>
                <w:rFonts w:asciiTheme="minorEastAsia" w:hAnsiTheme="minorEastAsia" w:eastAsiaTheme="minorEastAsia"/>
                <w:color w:val="7030A0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color w:val="7030A0"/>
                <w:sz w:val="28"/>
                <w:szCs w:val="28"/>
              </w:rPr>
              <w:t>7</w:t>
            </w:r>
            <w:r>
              <w:rPr>
                <w:rFonts w:hint="eastAsia" w:asciiTheme="minorEastAsia" w:hAnsiTheme="minorEastAsia" w:eastAsiaTheme="minorEastAsia"/>
                <w:color w:val="7030A0"/>
                <w:sz w:val="28"/>
                <w:szCs w:val="28"/>
              </w:rPr>
              <w:t>.板书设计</w:t>
            </w:r>
          </w:p>
          <w:p>
            <w:pPr>
              <w:ind w:firstLine="555"/>
              <w:rPr>
                <w:rFonts w:asciiTheme="minorEastAsia" w:hAnsiTheme="minorEastAsia" w:eastAsiaTheme="minorEastAsia"/>
                <w:color w:val="002060"/>
                <w:sz w:val="28"/>
                <w:szCs w:val="28"/>
              </w:rPr>
            </w:pPr>
            <w:r>
              <w:rPr>
                <w:rFonts w:hint="eastAsia" w:ascii="华文细黑" w:hAnsi="华文细黑" w:eastAsia="华文细黑" w:cs="华文细黑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35560</wp:posOffset>
                  </wp:positionV>
                  <wp:extent cx="2870200" cy="2368550"/>
                  <wp:effectExtent l="0" t="0" r="6350" b="0"/>
                  <wp:wrapNone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200" cy="236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</w:pPr>
          </w:p>
          <w:p>
            <w:pP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</w:pPr>
          </w:p>
          <w:p>
            <w:pP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</w:pPr>
          </w:p>
          <w:p>
            <w:pP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</w:pPr>
          </w:p>
          <w:p>
            <w:pPr>
              <w:rPr>
                <w:rFonts w:asciiTheme="minorEastAsia" w:hAnsiTheme="minorEastAsia" w:eastAsiaTheme="minorEastAsia"/>
                <w:color w:val="00206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作业设计</w:t>
            </w:r>
          </w:p>
          <w:p>
            <w:pPr>
              <w:pStyle w:val="14"/>
              <w:numPr>
                <w:ilvl w:val="0"/>
                <w:numId w:val="3"/>
              </w:numPr>
              <w:spacing w:line="360" w:lineRule="auto"/>
              <w:ind w:firstLineChars="0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背诵课文</w:t>
            </w:r>
          </w:p>
          <w:p>
            <w:pPr>
              <w:pStyle w:val="14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《学习之友》“整体感知”11-3题“”重点品读4、5题。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5000" w:type="pct"/>
            <w:gridSpan w:val="7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dashed" w:color="auto" w:sz="4" w:space="0"/>
            </w:tcBorders>
          </w:tcPr>
          <w:p>
            <w:pPr>
              <w:rPr>
                <w:rFonts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7030A0"/>
                <w:sz w:val="28"/>
                <w:szCs w:val="28"/>
              </w:rPr>
              <w:t>9.教学反思</w:t>
            </w:r>
          </w:p>
          <w:p>
            <w:pPr>
              <w:spacing w:line="360" w:lineRule="auto"/>
              <w:ind w:firstLine="560" w:firstLineChars="200"/>
              <w:rPr>
                <w:rFonts w:asciiTheme="minorEastAsia" w:hAnsiTheme="minorEastAsia" w:eastAsiaTheme="minorEastAsia"/>
                <w:color w:val="002060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color w:val="002060"/>
                <w:sz w:val="28"/>
                <w:szCs w:val="28"/>
              </w:rPr>
              <w:t>第一次尝试单元教学</w:t>
            </w:r>
            <w: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  <w:t>，</w:t>
            </w:r>
            <w:r>
              <w:rPr>
                <w:rFonts w:asciiTheme="minorEastAsia" w:hAnsiTheme="minorEastAsia" w:eastAsiaTheme="minorEastAsia"/>
                <w:color w:val="002060"/>
                <w:sz w:val="28"/>
                <w:szCs w:val="28"/>
              </w:rPr>
              <w:t>在两篇课文切入点上比较生硬</w:t>
            </w:r>
            <w: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  <w:t>，</w:t>
            </w:r>
            <w:r>
              <w:rPr>
                <w:rFonts w:asciiTheme="minorEastAsia" w:hAnsiTheme="minorEastAsia" w:eastAsiaTheme="minorEastAsia"/>
                <w:color w:val="002060"/>
                <w:sz w:val="28"/>
                <w:szCs w:val="28"/>
              </w:rPr>
              <w:t>衔接不够自然</w:t>
            </w:r>
            <w: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  <w:t>，</w:t>
            </w:r>
            <w:r>
              <w:rPr>
                <w:rFonts w:asciiTheme="minorEastAsia" w:hAnsiTheme="minorEastAsia" w:eastAsiaTheme="minorEastAsia"/>
                <w:color w:val="002060"/>
                <w:sz w:val="28"/>
                <w:szCs w:val="28"/>
              </w:rPr>
              <w:t>对文本的解读也不够深刻</w:t>
            </w:r>
            <w:r>
              <w:rPr>
                <w:rFonts w:hint="eastAsia" w:asciiTheme="minorEastAsia" w:hAnsiTheme="minorEastAsia" w:eastAsiaTheme="minorEastAsia"/>
                <w:color w:val="002060"/>
                <w:sz w:val="28"/>
                <w:szCs w:val="28"/>
              </w:rPr>
              <w:t>。</w:t>
            </w:r>
          </w:p>
        </w:tc>
      </w:tr>
    </w:tbl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264A91"/>
    <w:multiLevelType w:val="singleLevel"/>
    <w:tmpl w:val="B5264A91"/>
    <w:lvl w:ilvl="0" w:tentative="0">
      <w:start w:val="8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5C952B2"/>
    <w:multiLevelType w:val="multilevel"/>
    <w:tmpl w:val="25C952B2"/>
    <w:lvl w:ilvl="0" w:tentative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EE7144B"/>
    <w:multiLevelType w:val="multilevel"/>
    <w:tmpl w:val="2EE7144B"/>
    <w:lvl w:ilvl="0" w:tentative="0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YzA0MmU5N2M4MzMyMThkZDU2NzViZjIwYWJlZjMifQ=="/>
  </w:docVars>
  <w:rsids>
    <w:rsidRoot w:val="00614487"/>
    <w:rsid w:val="00053CBD"/>
    <w:rsid w:val="00073CB7"/>
    <w:rsid w:val="00080899"/>
    <w:rsid w:val="00094640"/>
    <w:rsid w:val="00111B8D"/>
    <w:rsid w:val="00144779"/>
    <w:rsid w:val="001471FF"/>
    <w:rsid w:val="00197BDC"/>
    <w:rsid w:val="001B0F0D"/>
    <w:rsid w:val="001C1752"/>
    <w:rsid w:val="002743B1"/>
    <w:rsid w:val="00331E95"/>
    <w:rsid w:val="0033718D"/>
    <w:rsid w:val="00355ED7"/>
    <w:rsid w:val="00470A4E"/>
    <w:rsid w:val="00501A1B"/>
    <w:rsid w:val="005667E0"/>
    <w:rsid w:val="005F6572"/>
    <w:rsid w:val="00614487"/>
    <w:rsid w:val="0067096F"/>
    <w:rsid w:val="00694A60"/>
    <w:rsid w:val="006C1123"/>
    <w:rsid w:val="006D07E7"/>
    <w:rsid w:val="007825D2"/>
    <w:rsid w:val="007B7206"/>
    <w:rsid w:val="007C397B"/>
    <w:rsid w:val="00856898"/>
    <w:rsid w:val="008667EC"/>
    <w:rsid w:val="00867C78"/>
    <w:rsid w:val="00880AEE"/>
    <w:rsid w:val="008C1C2E"/>
    <w:rsid w:val="00911CE7"/>
    <w:rsid w:val="00920ED9"/>
    <w:rsid w:val="0093138A"/>
    <w:rsid w:val="00976755"/>
    <w:rsid w:val="009E3E3E"/>
    <w:rsid w:val="009E7290"/>
    <w:rsid w:val="009F5611"/>
    <w:rsid w:val="00A0605F"/>
    <w:rsid w:val="00A07F1C"/>
    <w:rsid w:val="00A20DED"/>
    <w:rsid w:val="00AE6B4B"/>
    <w:rsid w:val="00AE6D1B"/>
    <w:rsid w:val="00B60858"/>
    <w:rsid w:val="00BC4DF2"/>
    <w:rsid w:val="00C82392"/>
    <w:rsid w:val="00CB097C"/>
    <w:rsid w:val="00CB297A"/>
    <w:rsid w:val="00D141B2"/>
    <w:rsid w:val="00D848CB"/>
    <w:rsid w:val="00D91BA5"/>
    <w:rsid w:val="00DC16B6"/>
    <w:rsid w:val="00E2002E"/>
    <w:rsid w:val="00E64AD5"/>
    <w:rsid w:val="00E70F5A"/>
    <w:rsid w:val="00F3657E"/>
    <w:rsid w:val="00F46BEB"/>
    <w:rsid w:val="00F57E1B"/>
    <w:rsid w:val="00FD4659"/>
    <w:rsid w:val="00FF674C"/>
    <w:rsid w:val="038A233E"/>
    <w:rsid w:val="0A325787"/>
    <w:rsid w:val="0BAD7E0B"/>
    <w:rsid w:val="22757E2B"/>
    <w:rsid w:val="3A2353BD"/>
    <w:rsid w:val="3B030BFD"/>
    <w:rsid w:val="3BD21E40"/>
    <w:rsid w:val="3E895644"/>
    <w:rsid w:val="45C22C67"/>
    <w:rsid w:val="4BBD1009"/>
    <w:rsid w:val="4DEE2403"/>
    <w:rsid w:val="68E31DB5"/>
    <w:rsid w:val="691E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nhideWhenUsed/>
    <w:uiPriority w:val="99"/>
    <w:pPr>
      <w:jc w:val="left"/>
    </w:p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unhideWhenUsed/>
    <w:qFormat/>
    <w:uiPriority w:val="99"/>
    <w:rPr>
      <w:sz w:val="21"/>
      <w:szCs w:val="21"/>
    </w:rPr>
  </w:style>
  <w:style w:type="character" w:customStyle="1" w:styleId="11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customStyle="1" w:styleId="12">
    <w:name w:val="批注文字 Char"/>
    <w:basedOn w:val="9"/>
    <w:link w:val="2"/>
    <w:semiHidden/>
    <w:qFormat/>
    <w:uiPriority w:val="99"/>
  </w:style>
  <w:style w:type="character" w:customStyle="1" w:styleId="13">
    <w:name w:val="批注主题 Char"/>
    <w:basedOn w:val="12"/>
    <w:link w:val="6"/>
    <w:semiHidden/>
    <w:qFormat/>
    <w:uiPriority w:val="99"/>
    <w:rPr>
      <w:b/>
      <w:bCs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Char"/>
    <w:basedOn w:val="9"/>
    <w:link w:val="5"/>
    <w:qFormat/>
    <w:uiPriority w:val="99"/>
    <w:rPr>
      <w:kern w:val="2"/>
      <w:sz w:val="18"/>
      <w:szCs w:val="18"/>
    </w:rPr>
  </w:style>
  <w:style w:type="character" w:customStyle="1" w:styleId="16">
    <w:name w:val="页脚 Char"/>
    <w:basedOn w:val="9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3F0610E-D1F3-4C07-8264-0D5937E571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1227</Words>
  <Characters>1248</Characters>
  <Lines>9</Lines>
  <Paragraphs>2</Paragraphs>
  <TotalTime>101</TotalTime>
  <ScaleCrop>false</ScaleCrop>
  <LinksUpToDate>false</LinksUpToDate>
  <CharactersWithSpaces>1295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2022-03-20T14:57:00Z</dcterms:created>
  <dc:creator>PC</dc:creator>
  <cp:lastModifiedBy>＆幻ㄖ萩タ%</cp:lastModifiedBy>
  <cp:lastPrinted>2023-04-25T11:04:57Z</cp:lastPrinted>
  <dcterms:modified xsi:type="dcterms:W3CDTF">2023-04-25T11:15:56Z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E4A7FE96F1AF479B87E6625EB576CAC0</vt:lpwstr>
  </property>
</Properties>
</file>