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both"/>
        <w:rPr>
          <w:rFonts w:hint="eastAsia" w:ascii="仿宋" w:hAnsi="仿宋" w:eastAsia="仿宋" w:cs="仿宋"/>
          <w:b w:val="0"/>
          <w:bCs w:val="0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28"/>
          <w:lang w:val="zh-CN"/>
        </w:rPr>
        <w:t>附件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28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贺兰县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ar"/>
        </w:rPr>
        <w:t>幼儿教师优秀教育活动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ar"/>
        </w:rPr>
        <w:t>评比评价表(科学领域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*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ar"/>
        </w:rPr>
        <w:t>数学)</w:t>
      </w:r>
      <w:bookmarkStart w:id="0" w:name="_GoBack"/>
      <w:bookmarkEnd w:id="0"/>
    </w:p>
    <w:p>
      <w:pPr>
        <w:adjustRightInd w:val="0"/>
        <w:snapToGrid w:val="0"/>
        <w:jc w:val="center"/>
        <w:rPr>
          <w:rFonts w:hint="eastAsia" w:ascii="方正小标宋_GBK" w:hAnsi="方正小标宋_GBK" w:eastAsia="方正小标宋_GBK" w:cs="方正小标宋_GBK"/>
          <w:b/>
          <w:kern w:val="0"/>
          <w:sz w:val="36"/>
          <w:szCs w:val="32"/>
          <w:lang w:val="zh-CN"/>
        </w:rPr>
      </w:pPr>
    </w:p>
    <w:tbl>
      <w:tblPr>
        <w:tblStyle w:val="4"/>
        <w:tblW w:w="90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3"/>
        <w:gridCol w:w="7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134" w:lineRule="atLeast"/>
              <w:jc w:val="center"/>
              <w:rPr>
                <w:b/>
                <w:kern w:val="0"/>
                <w:sz w:val="24"/>
                <w:lang w:val="zh-CN"/>
              </w:rPr>
            </w:pPr>
            <w:r>
              <w:rPr>
                <w:rFonts w:hint="eastAsia"/>
                <w:b/>
                <w:kern w:val="0"/>
                <w:sz w:val="24"/>
                <w:lang w:val="zh-CN"/>
              </w:rPr>
              <w:t>项</w:t>
            </w:r>
            <w:r>
              <w:rPr>
                <w:b/>
                <w:kern w:val="0"/>
                <w:sz w:val="24"/>
                <w:lang w:val="zh-CN"/>
              </w:rPr>
              <w:t xml:space="preserve"> </w:t>
            </w:r>
            <w:r>
              <w:rPr>
                <w:rFonts w:hint="eastAsia"/>
                <w:b/>
                <w:kern w:val="0"/>
                <w:sz w:val="24"/>
                <w:lang w:val="zh-CN"/>
              </w:rPr>
              <w:t>目</w:t>
            </w:r>
          </w:p>
        </w:tc>
        <w:tc>
          <w:tcPr>
            <w:tcW w:w="7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134" w:lineRule="atLeast"/>
              <w:jc w:val="center"/>
              <w:rPr>
                <w:b/>
                <w:kern w:val="0"/>
                <w:sz w:val="24"/>
                <w:lang w:val="zh-CN"/>
              </w:rPr>
            </w:pPr>
            <w:r>
              <w:rPr>
                <w:rFonts w:hint="eastAsia"/>
                <w:b/>
                <w:kern w:val="0"/>
                <w:sz w:val="24"/>
                <w:lang w:val="zh-CN"/>
              </w:rPr>
              <w:t>评</w:t>
            </w:r>
            <w:r>
              <w:rPr>
                <w:b/>
                <w:kern w:val="0"/>
                <w:sz w:val="24"/>
                <w:lang w:val="zh-CN"/>
              </w:rPr>
              <w:t xml:space="preserve"> </w:t>
            </w:r>
            <w:r>
              <w:rPr>
                <w:rFonts w:hint="eastAsia"/>
                <w:b/>
                <w:kern w:val="0"/>
                <w:sz w:val="24"/>
                <w:lang w:val="zh-CN"/>
              </w:rPr>
              <w:t>价</w:t>
            </w:r>
            <w:r>
              <w:rPr>
                <w:b/>
                <w:kern w:val="0"/>
                <w:sz w:val="24"/>
                <w:lang w:val="zh-CN"/>
              </w:rPr>
              <w:t xml:space="preserve"> </w:t>
            </w:r>
            <w:r>
              <w:rPr>
                <w:rFonts w:hint="eastAsia"/>
                <w:b/>
                <w:kern w:val="0"/>
                <w:sz w:val="24"/>
                <w:lang w:val="zh-CN"/>
              </w:rPr>
              <w:t>要</w:t>
            </w:r>
            <w:r>
              <w:rPr>
                <w:b/>
                <w:kern w:val="0"/>
                <w:sz w:val="24"/>
                <w:lang w:val="zh-CN"/>
              </w:rPr>
              <w:t xml:space="preserve"> </w:t>
            </w:r>
            <w:r>
              <w:rPr>
                <w:rFonts w:hint="eastAsia"/>
                <w:b/>
                <w:kern w:val="0"/>
                <w:sz w:val="24"/>
                <w:lang w:val="zh-CN"/>
              </w:rPr>
              <w:t>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exact"/>
          <w:jc w:val="center"/>
        </w:trPr>
        <w:tc>
          <w:tcPr>
            <w:tcW w:w="1623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kern w:val="0"/>
                <w:lang w:val="zh-CN"/>
              </w:rPr>
            </w:pPr>
          </w:p>
        </w:tc>
        <w:tc>
          <w:tcPr>
            <w:tcW w:w="7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kern w:val="0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rPr>
                <w:b/>
                <w:kern w:val="13"/>
              </w:rPr>
            </w:pPr>
            <w:r>
              <w:rPr>
                <w:rFonts w:hint="eastAsia"/>
                <w:b/>
                <w:color w:val="000000"/>
                <w:kern w:val="13"/>
              </w:rPr>
              <w:t>目标内容</w:t>
            </w:r>
            <w:r>
              <w:rPr>
                <w:b/>
                <w:color w:val="000000"/>
                <w:kern w:val="13"/>
              </w:rPr>
              <w:t>20</w:t>
            </w:r>
            <w:r>
              <w:rPr>
                <w:rFonts w:hint="eastAsia"/>
                <w:b/>
                <w:color w:val="000000"/>
                <w:kern w:val="13"/>
              </w:rPr>
              <w:t>分</w:t>
            </w: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312"/>
              </w:tabs>
              <w:adjustRightInd w:val="0"/>
              <w:snapToGrid w:val="0"/>
              <w:spacing w:line="300" w:lineRule="auto"/>
              <w:rPr>
                <w:kern w:val="13"/>
                <w:szCs w:val="21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围绕科学领域中数学认知的核心目标。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b/>
                <w:color w:val="FF0000"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312"/>
              </w:tabs>
              <w:adjustRightInd w:val="0"/>
              <w:snapToGrid w:val="0"/>
              <w:spacing w:line="300" w:lineRule="auto"/>
              <w:rPr>
                <w:kern w:val="13"/>
                <w:szCs w:val="21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内容选择适合集体活动形式，与幼儿一日生活、日常游戏活动链接。能够体现数学的态度和学习过程。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312"/>
              </w:tabs>
              <w:adjustRightInd w:val="0"/>
              <w:snapToGrid w:val="0"/>
              <w:spacing w:line="300" w:lineRule="auto"/>
              <w:rPr>
                <w:kern w:val="13"/>
                <w:szCs w:val="21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以观察、探究、操作、表达与交流等形式开展活动。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tabs>
                <w:tab w:val="left" w:pos="312"/>
              </w:tabs>
              <w:adjustRightInd w:val="0"/>
              <w:snapToGrid w:val="0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kern w:val="0"/>
                <w:szCs w:val="21"/>
              </w:rPr>
              <w:t>注重幼儿直接感知、亲身体验和实际操作，关注思维过程</w:t>
            </w:r>
            <w:r>
              <w:rPr>
                <w:rFonts w:hint="eastAsia"/>
                <w:kern w:val="0"/>
                <w:szCs w:val="21"/>
                <w:lang w:eastAsia="zh-CN"/>
              </w:rPr>
              <w:t>；</w:t>
            </w:r>
            <w:r>
              <w:rPr>
                <w:rFonts w:hint="eastAsia"/>
                <w:kern w:val="13"/>
                <w:szCs w:val="21"/>
              </w:rPr>
              <w:t>能够让幼儿充分的通过感知和操作形成经验并解决问题</w:t>
            </w:r>
            <w:r>
              <w:rPr>
                <w:rFonts w:hint="eastAsia"/>
                <w:kern w:val="13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  <w:r>
              <w:rPr>
                <w:rFonts w:hint="eastAsia"/>
                <w:b/>
                <w:color w:val="000000"/>
                <w:kern w:val="13"/>
              </w:rPr>
              <w:t>儿童表现</w:t>
            </w:r>
            <w:r>
              <w:rPr>
                <w:b/>
                <w:color w:val="000000"/>
                <w:kern w:val="13"/>
              </w:rPr>
              <w:t>50</w:t>
            </w:r>
            <w:r>
              <w:rPr>
                <w:rFonts w:hint="eastAsia"/>
                <w:b/>
                <w:color w:val="000000"/>
                <w:kern w:val="13"/>
              </w:rPr>
              <w:t>分</w:t>
            </w: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tabs>
                <w:tab w:val="left" w:pos="312"/>
              </w:tabs>
              <w:adjustRightInd w:val="0"/>
              <w:snapToGrid w:val="0"/>
              <w:rPr>
                <w:kern w:val="13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有儿童问题和思考</w:t>
            </w:r>
            <w:r>
              <w:rPr>
                <w:rFonts w:hint="eastAsia"/>
                <w:kern w:val="0"/>
                <w:szCs w:val="21"/>
              </w:rPr>
              <w:t>：从多个角度思考问题，能用数学的思维认识世界和解决问题。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tabs>
                <w:tab w:val="left" w:pos="312"/>
              </w:tabs>
              <w:adjustRightInd w:val="0"/>
              <w:snapToGrid w:val="0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带着问题操作：</w:t>
            </w:r>
            <w:r>
              <w:rPr>
                <w:rFonts w:hint="eastAsia"/>
                <w:kern w:val="0"/>
                <w:szCs w:val="21"/>
              </w:rPr>
              <w:t>通过观察、实验、归纳、类比等方式获得数学猜想，作出可能性结论的预测。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tabs>
                <w:tab w:val="left" w:pos="312"/>
              </w:tabs>
              <w:adjustRightInd w:val="0"/>
              <w:snapToGrid w:val="0"/>
              <w:spacing w:line="300" w:lineRule="auto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运用解决生活游戏问题：</w:t>
            </w:r>
            <w:r>
              <w:rPr>
                <w:rFonts w:hint="eastAsia"/>
                <w:kern w:val="0"/>
                <w:szCs w:val="21"/>
              </w:rPr>
              <w:t>能主动迁移生活中已有的经验来适应新的活动规则。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tabs>
                <w:tab w:val="left" w:pos="312"/>
              </w:tabs>
              <w:adjustRightInd w:val="0"/>
              <w:snapToGrid w:val="0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有数学表达：</w:t>
            </w:r>
            <w:r>
              <w:rPr>
                <w:rFonts w:hint="eastAsia"/>
                <w:kern w:val="0"/>
                <w:szCs w:val="21"/>
              </w:rPr>
              <w:t>能用合适的语言表达自己的思考过程并进行讨论与质疑。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rPr>
                <w:b/>
                <w:kern w:val="13"/>
              </w:rPr>
            </w:pPr>
            <w:r>
              <w:rPr>
                <w:rFonts w:hint="eastAsia"/>
                <w:b/>
                <w:color w:val="000000"/>
                <w:kern w:val="13"/>
              </w:rPr>
              <w:t>教师表现</w:t>
            </w:r>
            <w:r>
              <w:rPr>
                <w:b/>
                <w:color w:val="000000"/>
                <w:kern w:val="13"/>
              </w:rPr>
              <w:t>30</w:t>
            </w:r>
            <w:r>
              <w:rPr>
                <w:rFonts w:hint="eastAsia"/>
                <w:b/>
                <w:color w:val="000000"/>
                <w:kern w:val="13"/>
              </w:rPr>
              <w:t>分</w:t>
            </w: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312"/>
              </w:tabs>
              <w:adjustRightInd w:val="0"/>
              <w:snapToGrid w:val="0"/>
              <w:rPr>
                <w:kern w:val="13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善于激发幼儿感知生活中数学的有用和有趣。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spacing w:line="300" w:lineRule="auto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提问关键准确，有利于启发、支持和推动幼儿的好奇、探究、观察和思考。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环节设计层层递进，形成幼儿学习支架，发起的师幼互动、生生互动生动有趣，层层递进。提供的教具有可玩性、开放性、探究性和层次性。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2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b/>
                <w:kern w:val="13"/>
              </w:rPr>
            </w:pP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rPr>
                <w:kern w:val="0"/>
                <w:szCs w:val="21"/>
                <w:lang w:val="zh-CN"/>
              </w:rPr>
            </w:pPr>
            <w:r>
              <w:rPr>
                <w:rFonts w:hint="eastAsia"/>
                <w:kern w:val="0"/>
                <w:szCs w:val="21"/>
                <w:lang w:val="zh-CN"/>
              </w:rPr>
              <w:t>总结归纳有针对性，有利于幼儿经验的提升。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794" w:hRule="exact"/>
          <w:jc w:val="center"/>
        </w:trPr>
        <w:tc>
          <w:tcPr>
            <w:tcW w:w="162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kern w:val="0"/>
                <w:lang w:val="zh-CN"/>
              </w:rPr>
            </w:pPr>
            <w:r>
              <w:rPr>
                <w:rFonts w:hint="eastAsia"/>
                <w:b/>
                <w:kern w:val="0"/>
                <w:lang w:val="zh-CN"/>
              </w:rPr>
              <w:t>评价总分</w:t>
            </w:r>
          </w:p>
          <w:p>
            <w:pPr>
              <w:adjustRightInd w:val="0"/>
              <w:snapToGrid w:val="0"/>
              <w:jc w:val="center"/>
              <w:rPr>
                <w:b/>
                <w:kern w:val="0"/>
                <w:lang w:val="zh-CN"/>
              </w:rPr>
            </w:pPr>
            <w:r>
              <w:rPr>
                <w:rFonts w:hint="eastAsia"/>
                <w:b/>
                <w:kern w:val="0"/>
                <w:lang w:val="zh-CN"/>
              </w:rPr>
              <w:t>（</w:t>
            </w:r>
            <w:r>
              <w:rPr>
                <w:b/>
                <w:kern w:val="0"/>
              </w:rPr>
              <w:t>100</w:t>
            </w:r>
            <w:r>
              <w:rPr>
                <w:rFonts w:hint="eastAsia"/>
                <w:b/>
                <w:kern w:val="0"/>
              </w:rPr>
              <w:t>分</w:t>
            </w:r>
            <w:r>
              <w:rPr>
                <w:rFonts w:hint="eastAsia"/>
                <w:b/>
                <w:kern w:val="0"/>
                <w:lang w:val="zh-CN"/>
              </w:rPr>
              <w:t>）</w:t>
            </w:r>
          </w:p>
        </w:tc>
        <w:tc>
          <w:tcPr>
            <w:tcW w:w="7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kern w:val="0"/>
                <w:lang w:val="zh-CN"/>
              </w:rPr>
            </w:pPr>
          </w:p>
        </w:tc>
      </w:tr>
    </w:tbl>
    <w:p>
      <w:pPr>
        <w:adjustRightInd w:val="0"/>
        <w:snapToGrid w:val="0"/>
        <w:rPr>
          <w:b/>
          <w:bCs/>
          <w:kern w:val="0"/>
          <w:sz w:val="24"/>
        </w:rPr>
      </w:pPr>
    </w:p>
    <w:sectPr>
      <w:pgSz w:w="11906" w:h="16838"/>
      <w:pgMar w:top="1417" w:right="1134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2AA871"/>
    <w:multiLevelType w:val="singleLevel"/>
    <w:tmpl w:val="1D2AA87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cs="Times New Roman"/>
      </w:rPr>
    </w:lvl>
  </w:abstractNum>
  <w:abstractNum w:abstractNumId="1">
    <w:nsid w:val="54888C3C"/>
    <w:multiLevelType w:val="singleLevel"/>
    <w:tmpl w:val="54888C3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cs="Times New Roman"/>
      </w:rPr>
    </w:lvl>
  </w:abstractNum>
  <w:abstractNum w:abstractNumId="2">
    <w:nsid w:val="5D26B3F2"/>
    <w:multiLevelType w:val="singleLevel"/>
    <w:tmpl w:val="5D26B3F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lNzI3NDg1ZjUzYmYzNDdkYTU5YjIxOTI5OWMwMGEifQ=="/>
  </w:docVars>
  <w:rsids>
    <w:rsidRoot w:val="00DF2855"/>
    <w:rsid w:val="000912F8"/>
    <w:rsid w:val="00104A66"/>
    <w:rsid w:val="00275B18"/>
    <w:rsid w:val="004C007C"/>
    <w:rsid w:val="005C6779"/>
    <w:rsid w:val="006C41EF"/>
    <w:rsid w:val="006D208B"/>
    <w:rsid w:val="00712F08"/>
    <w:rsid w:val="007A7FFE"/>
    <w:rsid w:val="008C3B97"/>
    <w:rsid w:val="0090445B"/>
    <w:rsid w:val="009D3BE3"/>
    <w:rsid w:val="00B207E5"/>
    <w:rsid w:val="00B257E6"/>
    <w:rsid w:val="00B678A2"/>
    <w:rsid w:val="00B73A47"/>
    <w:rsid w:val="00BB498E"/>
    <w:rsid w:val="00BC37B6"/>
    <w:rsid w:val="00BF76A4"/>
    <w:rsid w:val="00C25370"/>
    <w:rsid w:val="00C26B96"/>
    <w:rsid w:val="00C67D08"/>
    <w:rsid w:val="00CC7294"/>
    <w:rsid w:val="00D06E20"/>
    <w:rsid w:val="00D43AD5"/>
    <w:rsid w:val="00D679FA"/>
    <w:rsid w:val="00D86786"/>
    <w:rsid w:val="00DF2855"/>
    <w:rsid w:val="00E20943"/>
    <w:rsid w:val="00E66446"/>
    <w:rsid w:val="07CA627F"/>
    <w:rsid w:val="0DC74645"/>
    <w:rsid w:val="14315DD3"/>
    <w:rsid w:val="14FE7924"/>
    <w:rsid w:val="1AD14591"/>
    <w:rsid w:val="1ED85BEA"/>
    <w:rsid w:val="2ADD7F6B"/>
    <w:rsid w:val="2C6125D7"/>
    <w:rsid w:val="2DDA0D4C"/>
    <w:rsid w:val="30604F76"/>
    <w:rsid w:val="3113074B"/>
    <w:rsid w:val="336C30D7"/>
    <w:rsid w:val="353F3F32"/>
    <w:rsid w:val="36CB5263"/>
    <w:rsid w:val="394C7AEF"/>
    <w:rsid w:val="3D4B7CD9"/>
    <w:rsid w:val="42E17959"/>
    <w:rsid w:val="471A156C"/>
    <w:rsid w:val="4735388D"/>
    <w:rsid w:val="47872EDE"/>
    <w:rsid w:val="486E5BC1"/>
    <w:rsid w:val="4C3E3B15"/>
    <w:rsid w:val="4D4052D5"/>
    <w:rsid w:val="53347108"/>
    <w:rsid w:val="551B3FB5"/>
    <w:rsid w:val="55CF4D02"/>
    <w:rsid w:val="640E74D3"/>
    <w:rsid w:val="6F343BCA"/>
    <w:rsid w:val="723A1037"/>
    <w:rsid w:val="73A854C4"/>
    <w:rsid w:val="7F737DBC"/>
    <w:rsid w:val="9D4B5CFF"/>
    <w:rsid w:val="BA7B23C6"/>
    <w:rsid w:val="BFFD1C72"/>
    <w:rsid w:val="FE73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oter Char"/>
    <w:basedOn w:val="6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Header Char"/>
    <w:basedOn w:val="6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Microsoft</Company>
  <Pages>1</Pages>
  <Words>476</Words>
  <Characters>481</Characters>
  <Lines>0</Lines>
  <Paragraphs>0</Paragraphs>
  <TotalTime>2</TotalTime>
  <ScaleCrop>false</ScaleCrop>
  <LinksUpToDate>false</LinksUpToDate>
  <CharactersWithSpaces>485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2022-05-07T01:51:00Z</dcterms:created>
  <dc:creator>whh</dc:creator>
  <cp:lastModifiedBy>偶然</cp:lastModifiedBy>
  <cp:lastPrinted>2021-03-09T17:51:00Z</cp:lastPrinted>
  <dcterms:modified xsi:type="dcterms:W3CDTF">2023-04-03T02:45:04Z</dcterms:modified>
  <dc:title>三亚市幼儿教师优秀教育活动评比评价表(科学领域*数学)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44B4FA38B8F44AC98610D6241A8A7FB5</vt:lpwstr>
  </property>
</Properties>
</file>