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ascii="宋体" w:cs="宋体" w:hAnsiTheme="minorHAnsi" w:eastAsiaTheme="minorEastAsia"/>
          <w:sz w:val="32"/>
          <w:szCs w:val="24"/>
        </w:rPr>
      </w:pPr>
      <w:r>
        <w:rPr>
          <w:rFonts w:asciiTheme="minorHAnsi" w:hAnsiTheme="minorHAnsi" w:eastAsiaTheme="minorEastAsia" w:cstheme="minorBidi"/>
          <w:szCs w:val="24"/>
        </w:rPr>
        <w:drawing>
          <wp:inline distT="0" distB="0" distL="0" distR="0">
            <wp:extent cx="828675" cy="790575"/>
            <wp:effectExtent l="0" t="0" r="13" b="13"/>
            <wp:docPr id="1" name="rectole0000000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ctole0000000000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黑体" w:eastAsia="黑体" w:cs="黑体" w:hAnsiTheme="minorHAnsi"/>
          <w:color w:val="FF0000"/>
          <w:sz w:val="44"/>
          <w:szCs w:val="24"/>
        </w:rPr>
      </w:pPr>
      <w:r>
        <w:rPr>
          <w:rFonts w:ascii="黑体" w:eastAsia="黑体" w:cs="黑体" w:hAnsiTheme="minorHAnsi"/>
          <w:color w:val="FF0000"/>
          <w:sz w:val="44"/>
          <w:szCs w:val="24"/>
        </w:rPr>
        <w:t>石 嘴 山 市 第 十 五 中 学</w:t>
      </w:r>
    </w:p>
    <w:p>
      <w:pPr>
        <w:spacing w:line="360" w:lineRule="auto"/>
        <w:jc w:val="center"/>
        <w:rPr>
          <w:rFonts w:ascii="方正小标宋简体" w:eastAsia="方正小标宋简体" w:cs="方正小标宋简体" w:hAnsiTheme="minorHAnsi"/>
          <w:color w:val="FF0000"/>
          <w:sz w:val="84"/>
          <w:szCs w:val="24"/>
        </w:rPr>
      </w:pPr>
      <w:r>
        <w:rPr>
          <w:rFonts w:ascii="方正小标宋简体" w:eastAsia="方正小标宋简体" w:cs="方正小标宋简体" w:hAnsiTheme="minorHAnsi"/>
          <w:color w:val="FF0000"/>
          <w:sz w:val="72"/>
          <w:szCs w:val="24"/>
        </w:rPr>
        <w:t xml:space="preserve"> </w:t>
      </w:r>
      <w:r>
        <w:rPr>
          <w:rFonts w:ascii="方正小标宋简体" w:eastAsia="方正小标宋简体" w:cs="方正小标宋简体" w:hAnsiTheme="minorHAnsi"/>
          <w:color w:val="FF0000"/>
          <w:sz w:val="84"/>
          <w:szCs w:val="24"/>
        </w:rPr>
        <w:t>信 息 简 报</w:t>
      </w:r>
    </w:p>
    <w:p>
      <w:pPr>
        <w:spacing w:line="521" w:lineRule="auto"/>
        <w:ind w:firstLine="320" w:firstLineChars="100"/>
        <w:rPr>
          <w:rFonts w:ascii="仿宋_GB2312" w:eastAsia="仿宋_GB2312" w:cs="仿宋_GB2312" w:hAnsiTheme="minorHAnsi"/>
          <w:color w:val="FF0000"/>
          <w:sz w:val="32"/>
          <w:szCs w:val="24"/>
        </w:rPr>
      </w:pPr>
      <w:r>
        <w:rPr>
          <w:rFonts w:ascii="仿宋_GB2312" w:eastAsia="仿宋_GB2312" w:cs="仿宋_GB2312" w:hAnsiTheme="minorHAnsi"/>
          <w:color w:val="FF0000"/>
          <w:sz w:val="32"/>
          <w:szCs w:val="24"/>
        </w:rPr>
        <w:t>时间：202</w:t>
      </w:r>
      <w:r>
        <w:rPr>
          <w:rFonts w:hint="eastAsia" w:ascii="仿宋_GB2312" w:eastAsia="仿宋_GB2312" w:cs="仿宋_GB2312" w:hAnsiTheme="minorHAnsi"/>
          <w:color w:val="FF0000"/>
          <w:sz w:val="32"/>
          <w:szCs w:val="24"/>
          <w:lang w:val="en-US" w:eastAsia="zh-CN"/>
        </w:rPr>
        <w:t>3</w:t>
      </w:r>
      <w:r>
        <w:rPr>
          <w:rFonts w:ascii="仿宋_GB2312" w:eastAsia="仿宋_GB2312" w:cs="仿宋_GB2312" w:hAnsiTheme="minorHAnsi"/>
          <w:color w:val="FF0000"/>
          <w:sz w:val="32"/>
          <w:szCs w:val="24"/>
        </w:rPr>
        <w:t>年</w:t>
      </w:r>
      <w:r>
        <w:rPr>
          <w:rFonts w:hint="eastAsia" w:ascii="仿宋_GB2312" w:eastAsia="仿宋_GB2312" w:cs="仿宋_GB2312" w:hAnsiTheme="minorHAnsi"/>
          <w:color w:val="FF0000"/>
          <w:sz w:val="32"/>
          <w:szCs w:val="24"/>
        </w:rPr>
        <w:t>3</w:t>
      </w:r>
      <w:r>
        <w:rPr>
          <w:rFonts w:ascii="仿宋_GB2312" w:eastAsia="仿宋_GB2312" w:cs="仿宋_GB2312" w:hAnsiTheme="minorHAnsi"/>
          <w:color w:val="FF0000"/>
          <w:sz w:val="32"/>
          <w:szCs w:val="24"/>
        </w:rPr>
        <w:t xml:space="preserve">月8日  </w:t>
      </w:r>
      <w:r>
        <w:rPr>
          <w:rFonts w:hint="eastAsia" w:ascii="仿宋_GB2312" w:eastAsia="仿宋_GB2312" w:cs="仿宋_GB2312" w:hAnsiTheme="minorHAnsi"/>
          <w:color w:val="FF0000"/>
          <w:sz w:val="32"/>
          <w:szCs w:val="24"/>
        </w:rPr>
        <w:t xml:space="preserve"> </w:t>
      </w:r>
      <w:r>
        <w:rPr>
          <w:rFonts w:ascii="仿宋_GB2312" w:eastAsia="仿宋_GB2312" w:cs="仿宋_GB2312" w:hAnsiTheme="minorHAnsi"/>
          <w:color w:val="FF0000"/>
          <w:sz w:val="32"/>
          <w:szCs w:val="24"/>
        </w:rPr>
        <w:t xml:space="preserve">  </w:t>
      </w:r>
      <w:r>
        <w:rPr>
          <w:rFonts w:hint="eastAsia" w:ascii="仿宋_GB2312" w:eastAsia="仿宋_GB2312" w:cs="仿宋_GB2312" w:hAnsiTheme="minorHAnsi"/>
          <w:color w:val="FF0000"/>
          <w:sz w:val="32"/>
          <w:szCs w:val="24"/>
        </w:rPr>
        <w:t xml:space="preserve">  </w:t>
      </w:r>
      <w:r>
        <w:rPr>
          <w:rFonts w:ascii="仿宋_GB2312" w:eastAsia="仿宋_GB2312" w:cs="仿宋_GB2312" w:hAnsiTheme="minorHAnsi"/>
          <w:color w:val="FF0000"/>
          <w:sz w:val="32"/>
          <w:szCs w:val="24"/>
        </w:rPr>
        <w:t xml:space="preserve">   签发人：</w:t>
      </w:r>
      <w:r>
        <w:rPr>
          <w:rFonts w:hint="eastAsia" w:ascii="仿宋_GB2312" w:eastAsia="仿宋_GB2312" w:cs="仿宋_GB2312" w:hAnsiTheme="minorHAnsi"/>
          <w:color w:val="FF0000"/>
          <w:sz w:val="32"/>
          <w:szCs w:val="24"/>
        </w:rPr>
        <w:t>刘兴成</w:t>
      </w:r>
    </w:p>
    <w:p>
      <w:pPr>
        <w:spacing w:line="521" w:lineRule="auto"/>
        <w:jc w:val="center"/>
        <w:rPr>
          <w:rFonts w:ascii="黑体" w:eastAsia="黑体" w:cs="黑体" w:hAnsiTheme="minorHAnsi"/>
          <w:color w:val="FF0000"/>
          <w:sz w:val="32"/>
          <w:szCs w:val="24"/>
        </w:rPr>
      </w:pPr>
      <w:r>
        <w:rPr>
          <w:rFonts w:ascii="黑体" w:eastAsia="黑体" w:cs="黑体" w:hAnsiTheme="minorHAnsi"/>
          <w:color w:val="FF0000"/>
          <w:sz w:val="32"/>
          <w:szCs w:val="24"/>
        </w:rPr>
        <w:t>—————————————</w:t>
      </w:r>
      <w:r>
        <w:rPr>
          <w:rFonts w:ascii="Segoe UI Symbol" w:hAnsi="Segoe UI Symbol" w:eastAsia="黑体" w:cs="Segoe UI Symbol"/>
          <w:color w:val="FF0000"/>
          <w:sz w:val="36"/>
          <w:szCs w:val="24"/>
        </w:rPr>
        <w:t>★</w:t>
      </w:r>
      <w:r>
        <w:rPr>
          <w:rFonts w:ascii="黑体" w:eastAsia="黑体" w:cs="黑体" w:hAnsiTheme="minorHAnsi"/>
          <w:color w:val="FF0000"/>
          <w:sz w:val="32"/>
          <w:szCs w:val="24"/>
        </w:rPr>
        <w:t>—————————————</w:t>
      </w:r>
    </w:p>
    <w:p>
      <w:pPr>
        <w:spacing w:line="521" w:lineRule="auto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参观学习共成长 交流互动促发展</w:t>
      </w:r>
    </w:p>
    <w:p>
      <w:pPr>
        <w:spacing w:line="521" w:lineRule="auto"/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    ——榆林市教育同仁来我校观摩交流纪实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近年来，石嘴山市第十五中学大力推进“互联网+教育”，在学校管理、教学模式创新等方面大胆探索，取得了一定成绩，得到了教育行政部门和兄弟学校的好评，社会影响力不断增强。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16510</wp:posOffset>
            </wp:positionV>
            <wp:extent cx="3719830" cy="2480310"/>
            <wp:effectExtent l="0" t="0" r="13970" b="15240"/>
            <wp:wrapTight wrapText="bothSides">
              <wp:wrapPolygon>
                <wp:start x="0" y="0"/>
                <wp:lineTo x="0" y="21401"/>
                <wp:lineTo x="21460" y="21401"/>
                <wp:lineTo x="21460" y="0"/>
                <wp:lineTo x="0" y="0"/>
              </wp:wrapPolygon>
            </wp:wrapTight>
            <wp:docPr id="3" name="图片 3" descr="IMG_1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156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9830" cy="2480310"/>
                    </a:xfrm>
                    <a:prstGeom prst="rect">
                      <a:avLst/>
                    </a:prstGeom>
                    <a:solidFill>
                      <a:schemeClr val="lt1"/>
                    </a:solidFill>
                  </pic:spPr>
                </pic:pic>
              </a:graphicData>
            </a:graphic>
          </wp:anchor>
        </w:drawing>
      </w: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360A09"/>
          <w:spacing w:val="8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</w:t>
      </w:r>
      <w:r>
        <w:rPr>
          <w:rFonts w:hint="eastAsia" w:ascii="仿宋" w:hAnsi="仿宋" w:eastAsia="仿宋" w:cs="仿宋"/>
          <w:i w:val="0"/>
          <w:iCs w:val="0"/>
          <w:caps w:val="0"/>
          <w:color w:val="360A09"/>
          <w:spacing w:val="8"/>
          <w:kern w:val="0"/>
          <w:sz w:val="32"/>
          <w:szCs w:val="32"/>
          <w:shd w:val="clear" w:fill="FFFFFF"/>
          <w:lang w:val="en-US" w:eastAsia="zh-CN" w:bidi="ar"/>
        </w:rPr>
        <w:t>3月8日，</w:t>
      </w:r>
      <w:r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来自榆</w:t>
      </w:r>
      <w:r>
        <w:rPr>
          <w:rFonts w:hint="eastAsia" w:ascii="仿宋" w:hAnsi="仿宋" w:eastAsia="仿宋" w:cs="仿宋"/>
          <w:i w:val="0"/>
          <w:iCs w:val="0"/>
          <w:caps w:val="0"/>
          <w:color w:val="360A09"/>
          <w:spacing w:val="8"/>
          <w:kern w:val="0"/>
          <w:sz w:val="32"/>
          <w:szCs w:val="32"/>
          <w:shd w:val="clear" w:fill="FFFFFF"/>
          <w:lang w:val="en-US" w:eastAsia="zh-CN" w:bidi="ar"/>
        </w:rPr>
        <w:t>林市140多位教育同仁在惠农区教体局副局长沈建刚的陪同下</w:t>
      </w:r>
      <w:r>
        <w:rPr>
          <w:rFonts w:hint="eastAsia" w:ascii="仿宋" w:hAnsi="仿宋" w:eastAsia="仿宋" w:cs="仿宋"/>
          <w:sz w:val="32"/>
          <w:szCs w:val="32"/>
        </w:rPr>
        <w:t>观摩了石嘴山市第十五中学“互联网+教育”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融合</w:t>
      </w:r>
      <w:r>
        <w:rPr>
          <w:rFonts w:hint="eastAsia" w:ascii="仿宋" w:hAnsi="仿宋" w:eastAsia="仿宋" w:cs="仿宋"/>
          <w:sz w:val="32"/>
          <w:szCs w:val="32"/>
        </w:rPr>
        <w:t>应用工作。</w:t>
      </w:r>
    </w:p>
    <w:p>
      <w:pPr>
        <w:rPr>
          <w:rFonts w:hint="eastAsia" w:ascii="仿宋" w:hAnsi="仿宋" w:eastAsia="仿宋" w:cs="仿宋"/>
          <w:i w:val="0"/>
          <w:iCs w:val="0"/>
          <w:caps w:val="0"/>
          <w:color w:val="360A09"/>
          <w:spacing w:val="5"/>
          <w:kern w:val="0"/>
          <w:sz w:val="32"/>
          <w:szCs w:val="32"/>
          <w:shd w:val="clear" w:fill="FFFFFF"/>
          <w:lang w:val="en-US" w:eastAsia="zh-CN" w:bidi="ar"/>
        </w:rPr>
      </w:pPr>
    </w:p>
    <w:tbl>
      <w:tblPr>
        <w:tblStyle w:val="13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4530"/>
        <w:gridCol w:w="4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30" w:type="dxa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lang w:val="en-US" w:eastAsia="zh-CN" w:bidi="ar"/>
              </w:rPr>
              <w:drawing>
                <wp:inline distT="0" distB="0" distL="114300" distR="114300">
                  <wp:extent cx="2807335" cy="1737995"/>
                  <wp:effectExtent l="0" t="0" r="12065" b="14605"/>
                  <wp:docPr id="7" name="图片 7" descr="IMG_1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IMG_157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7379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lang w:val="en-US" w:eastAsia="zh-CN" w:bidi="ar"/>
              </w:rPr>
              <w:drawing>
                <wp:inline distT="0" distB="0" distL="114300" distR="114300">
                  <wp:extent cx="2902585" cy="1762760"/>
                  <wp:effectExtent l="0" t="0" r="12065" b="8890"/>
                  <wp:docPr id="8" name="图片 8" descr="IMG_1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IMG_160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585" cy="17627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30" w:type="dxa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  <w:drawing>
                <wp:inline distT="0" distB="0" distL="114300" distR="114300">
                  <wp:extent cx="2805430" cy="1870075"/>
                  <wp:effectExtent l="0" t="0" r="13970" b="15875"/>
                  <wp:docPr id="9" name="图片 9" descr="IMG_1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IMG_164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430" cy="187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60A09"/>
                <w:spacing w:val="5"/>
                <w:kern w:val="0"/>
                <w:sz w:val="32"/>
                <w:szCs w:val="32"/>
                <w:shd w:val="clear" w:fill="FFFFFF"/>
                <w:vertAlign w:val="baseline"/>
                <w:lang w:val="en-US" w:eastAsia="zh-CN" w:bidi="ar"/>
              </w:rPr>
              <w:drawing>
                <wp:inline distT="0" distB="0" distL="114300" distR="114300">
                  <wp:extent cx="2781300" cy="1854200"/>
                  <wp:effectExtent l="0" t="0" r="0" b="12700"/>
                  <wp:docPr id="10" name="图片 10" descr="IMG_1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IMG_173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85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hint="eastAsia" w:ascii="仿宋" w:hAnsi="仿宋" w:eastAsia="仿宋" w:cs="仿宋"/>
          <w:i w:val="0"/>
          <w:iCs w:val="0"/>
          <w:caps w:val="0"/>
          <w:color w:val="360A09"/>
          <w:spacing w:val="5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ind w:firstLine="6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60A09"/>
          <w:spacing w:val="5"/>
          <w:kern w:val="0"/>
          <w:sz w:val="32"/>
          <w:szCs w:val="32"/>
          <w:shd w:val="clear" w:fill="FFFFFF"/>
          <w:lang w:val="en-US" w:eastAsia="zh-CN" w:bidi="ar"/>
        </w:rPr>
        <w:t>观摩活动由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石嘴山市第十五中学</w:t>
      </w:r>
      <w:r>
        <w:rPr>
          <w:rFonts w:hint="eastAsia" w:ascii="仿宋" w:hAnsi="仿宋" w:eastAsia="仿宋" w:cs="仿宋"/>
          <w:i w:val="0"/>
          <w:iCs w:val="0"/>
          <w:caps w:val="0"/>
          <w:color w:val="360A09"/>
          <w:spacing w:val="5"/>
          <w:kern w:val="0"/>
          <w:sz w:val="32"/>
          <w:szCs w:val="32"/>
          <w:shd w:val="clear" w:fill="FFFFFF"/>
          <w:lang w:val="en-US" w:eastAsia="zh-CN" w:bidi="ar"/>
        </w:rPr>
        <w:t>王文兵副校长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从学校推进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“互联网+教育”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探索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历程，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制度体系，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创新机制、深度应用，推进“互联网+教育”总体成效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反思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个方面向大家做了题为《现代信息技术推动教育教学深刻变革》的工作报告。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观摩团首先参观了学校的AR地理教室、AI教师发展中心、理化数字传感实验室、智慧教室等功能室建设状况，并聆听了老师对相关功能室应用情况的介绍。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与我校教师深入交流了在信息化应用上取得的成就、困惑和值得借鉴的案例。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观摩活动结束后，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榆林市教育同仁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对石嘴山市第十五中学“互联网+教育”工作给予积极评价，教师们认为我校智慧校园建设体现了六个好的特点：顶层设计好；硬件设施好；措施落实好；师生信息素养好；应用融合好；课堂效果好。对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榆林市教体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系统开展“互联网+教育”工作提供了思路和方法。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spacing w:line="560" w:lineRule="exact"/>
        <w:ind w:firstLine="551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60" w:lineRule="exact"/>
        <w:ind w:firstLine="551"/>
        <w:jc w:val="left"/>
        <w:rPr>
          <w:rFonts w:ascii="仿宋_GB2312" w:eastAsia="仿宋_GB2312"/>
          <w:sz w:val="32"/>
          <w:szCs w:val="32"/>
        </w:rPr>
      </w:pPr>
    </w:p>
    <w:sectPr>
      <w:pgSz w:w="11906" w:h="16838"/>
      <w:pgMar w:top="1985" w:right="1474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56E4432-B39C-4BFC-A919-3B49B854EF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9133AAC-13BE-48EA-8E14-ED6E12AAD2B5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8118B495-7ED0-4E96-9DF2-0E59C4B9138E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7968400D-A809-4D5C-ADD7-D2E4D32B4223}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5" w:fontKey="{966441CB-9517-4F58-9209-A5B52AA639A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1979EC53-1F6F-4E9A-BB6A-8BF93B937E3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-apple-system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wYzA0MmU5N2M4MzMyMThkZDU2NzViZjIwYWJlZjMifQ=="/>
  </w:docVars>
  <w:rsids>
    <w:rsidRoot w:val="000873FB"/>
    <w:rsid w:val="000873FB"/>
    <w:rsid w:val="001964B8"/>
    <w:rsid w:val="003E530A"/>
    <w:rsid w:val="0050731F"/>
    <w:rsid w:val="00552E8D"/>
    <w:rsid w:val="005A6ED5"/>
    <w:rsid w:val="005C07F2"/>
    <w:rsid w:val="006E211D"/>
    <w:rsid w:val="007F57BD"/>
    <w:rsid w:val="008053A4"/>
    <w:rsid w:val="008E62EE"/>
    <w:rsid w:val="00B878DB"/>
    <w:rsid w:val="00BA1ADB"/>
    <w:rsid w:val="00BE0727"/>
    <w:rsid w:val="00C95B95"/>
    <w:rsid w:val="00E365A6"/>
    <w:rsid w:val="05620AC3"/>
    <w:rsid w:val="198A3681"/>
    <w:rsid w:val="27AA5AD0"/>
    <w:rsid w:val="2DEC0A3E"/>
    <w:rsid w:val="36C26992"/>
    <w:rsid w:val="3D2D1B44"/>
    <w:rsid w:val="496B1FB0"/>
    <w:rsid w:val="4AF173EE"/>
    <w:rsid w:val="4D203FBB"/>
    <w:rsid w:val="54692116"/>
    <w:rsid w:val="63D94A15"/>
    <w:rsid w:val="7506570B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unhideWhenUsed/>
    <w:qFormat/>
    <w:uiPriority w:val="1"/>
  </w:style>
  <w:style w:type="table" w:default="1" w:styleId="1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table" w:styleId="13">
    <w:name w:val="Table Grid"/>
    <w:basedOn w:val="12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535</Words>
  <Characters>571</Characters>
  <Lines>3</Lines>
  <Paragraphs>1</Paragraphs>
  <ScaleCrop>false</ScaleCrop>
  <LinksUpToDate>false</LinksUpToDate>
  <CharactersWithSpaces>610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2022-08-29T06:46:00Z</dcterms:created>
  <dc:creator>huawei</dc:creator>
  <cp:lastModifiedBy>h'y</cp:lastModifiedBy>
  <cp:lastPrinted>2020-11-10T00:31:00Z</cp:lastPrinted>
  <dcterms:modified xsi:type="dcterms:W3CDTF">2023-03-08T07:39:32Z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D7A26546310240868A39E566B421D93C</vt:lpwstr>
  </property>
</Properties>
</file>